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86E33" w14:textId="77777777" w:rsidR="006B0507" w:rsidRPr="00677968" w:rsidRDefault="006B0507" w:rsidP="006B0507">
      <w:pPr>
        <w:ind w:left="0" w:hanging="2"/>
        <w:jc w:val="center"/>
        <w:rPr>
          <w:rFonts w:asciiTheme="majorHAnsi" w:eastAsia="Calibri" w:hAnsiTheme="majorHAnsi" w:cstheme="majorHAnsi"/>
          <w:sz w:val="22"/>
          <w:szCs w:val="22"/>
        </w:rPr>
      </w:pPr>
      <w:r w:rsidRPr="00677968">
        <w:rPr>
          <w:rFonts w:asciiTheme="majorHAnsi" w:eastAsia="Calibri" w:hAnsiTheme="majorHAnsi" w:cstheme="majorHAnsi"/>
          <w:b/>
          <w:sz w:val="22"/>
          <w:szCs w:val="22"/>
        </w:rPr>
        <w:t>SECCIÓN IV</w:t>
      </w:r>
    </w:p>
    <w:p w14:paraId="17286529" w14:textId="77777777" w:rsidR="006B0507" w:rsidRPr="00677968" w:rsidRDefault="006B0507" w:rsidP="006B0507">
      <w:pPr>
        <w:ind w:left="0" w:hanging="2"/>
        <w:jc w:val="center"/>
        <w:rPr>
          <w:rFonts w:asciiTheme="majorHAnsi" w:eastAsia="Calibri" w:hAnsiTheme="majorHAnsi" w:cstheme="majorHAnsi"/>
          <w:b/>
          <w:sz w:val="22"/>
          <w:szCs w:val="22"/>
        </w:rPr>
      </w:pPr>
      <w:r w:rsidRPr="00677968">
        <w:rPr>
          <w:rFonts w:asciiTheme="majorHAnsi" w:eastAsia="Calibri" w:hAnsiTheme="majorHAnsi" w:cstheme="majorHAnsi"/>
          <w:b/>
          <w:sz w:val="22"/>
          <w:szCs w:val="22"/>
        </w:rPr>
        <w:t>FORMULARIO DE COTIZACIÓN</w:t>
      </w:r>
    </w:p>
    <w:p w14:paraId="03BD8614" w14:textId="77777777" w:rsidR="006B0507" w:rsidRPr="00677968" w:rsidRDefault="006B0507" w:rsidP="006B0507">
      <w:pPr>
        <w:ind w:left="0" w:hanging="2"/>
        <w:jc w:val="center"/>
        <w:rPr>
          <w:rFonts w:asciiTheme="majorHAnsi" w:eastAsia="Calibri" w:hAnsiTheme="majorHAnsi" w:cstheme="majorHAnsi"/>
          <w:b/>
          <w:sz w:val="22"/>
          <w:szCs w:val="22"/>
        </w:rPr>
      </w:pPr>
    </w:p>
    <w:p w14:paraId="6A5823A2" w14:textId="77777777" w:rsidR="0092484E" w:rsidRDefault="0092484E" w:rsidP="0092484E">
      <w:pPr>
        <w:ind w:left="0" w:hanging="2"/>
        <w:jc w:val="center"/>
        <w:rPr>
          <w:rFonts w:asciiTheme="majorHAnsi" w:eastAsia="Calibri" w:hAnsiTheme="majorHAnsi" w:cstheme="majorHAnsi"/>
          <w:b/>
          <w:bCs/>
          <w:sz w:val="22"/>
          <w:szCs w:val="22"/>
        </w:rPr>
      </w:pPr>
      <w:r w:rsidRPr="0092484E">
        <w:rPr>
          <w:rFonts w:asciiTheme="majorHAnsi" w:eastAsia="Calibri" w:hAnsiTheme="majorHAnsi" w:cstheme="majorHAnsi"/>
          <w:b/>
          <w:bCs/>
          <w:sz w:val="22"/>
          <w:szCs w:val="22"/>
        </w:rPr>
        <w:t>CO-SINCHI-549031-GO-RFQ</w:t>
      </w:r>
    </w:p>
    <w:p w14:paraId="18D75847" w14:textId="652227A7" w:rsidR="006B0507" w:rsidRPr="00677968" w:rsidRDefault="006B0507" w:rsidP="006B0507">
      <w:pPr>
        <w:ind w:left="0" w:hanging="2"/>
        <w:jc w:val="right"/>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Fecha: </w:t>
      </w:r>
      <w:r w:rsidRPr="00677968">
        <w:rPr>
          <w:rFonts w:asciiTheme="majorHAnsi" w:eastAsia="Calibri" w:hAnsiTheme="majorHAnsi" w:cstheme="majorHAnsi"/>
          <w:i/>
          <w:sz w:val="22"/>
          <w:szCs w:val="22"/>
          <w:highlight w:val="lightGray"/>
        </w:rPr>
        <w:t>[día]</w:t>
      </w:r>
      <w:r w:rsidRPr="00677968">
        <w:rPr>
          <w:rFonts w:asciiTheme="majorHAnsi" w:eastAsia="Calibri" w:hAnsiTheme="majorHAnsi" w:cstheme="majorHAnsi"/>
          <w:i/>
          <w:sz w:val="22"/>
          <w:szCs w:val="22"/>
        </w:rPr>
        <w:t xml:space="preserve"> </w:t>
      </w:r>
      <w:r w:rsidRPr="00677968">
        <w:rPr>
          <w:rFonts w:asciiTheme="majorHAnsi" w:eastAsia="Calibri" w:hAnsiTheme="majorHAnsi" w:cstheme="majorHAnsi"/>
          <w:sz w:val="22"/>
          <w:szCs w:val="22"/>
        </w:rPr>
        <w:t xml:space="preserve">de </w:t>
      </w:r>
      <w:r w:rsidRPr="00677968">
        <w:rPr>
          <w:rFonts w:asciiTheme="majorHAnsi" w:eastAsia="Calibri" w:hAnsiTheme="majorHAnsi" w:cstheme="majorHAnsi"/>
          <w:i/>
          <w:sz w:val="22"/>
          <w:szCs w:val="22"/>
          <w:highlight w:val="lightGray"/>
        </w:rPr>
        <w:t>[mes]</w:t>
      </w:r>
      <w:r w:rsidRPr="00677968">
        <w:rPr>
          <w:rFonts w:asciiTheme="majorHAnsi" w:eastAsia="Calibri" w:hAnsiTheme="majorHAnsi" w:cstheme="majorHAnsi"/>
          <w:i/>
          <w:sz w:val="22"/>
          <w:szCs w:val="22"/>
        </w:rPr>
        <w:t xml:space="preserve"> </w:t>
      </w:r>
      <w:r w:rsidRPr="00677968">
        <w:rPr>
          <w:rFonts w:asciiTheme="majorHAnsi" w:eastAsia="Calibri" w:hAnsiTheme="majorHAnsi" w:cstheme="majorHAnsi"/>
          <w:sz w:val="22"/>
          <w:szCs w:val="22"/>
        </w:rPr>
        <w:t xml:space="preserve">de </w:t>
      </w:r>
      <w:r w:rsidRPr="00677968">
        <w:rPr>
          <w:rFonts w:asciiTheme="majorHAnsi" w:eastAsia="Calibri" w:hAnsiTheme="majorHAnsi" w:cstheme="majorHAnsi"/>
          <w:i/>
          <w:sz w:val="22"/>
          <w:szCs w:val="22"/>
          <w:highlight w:val="lightGray"/>
        </w:rPr>
        <w:t>[año]</w:t>
      </w:r>
    </w:p>
    <w:p w14:paraId="18625989" w14:textId="77777777" w:rsidR="006B0507" w:rsidRPr="00677968" w:rsidRDefault="006B0507" w:rsidP="006B0507">
      <w:pPr>
        <w:ind w:left="0" w:hanging="2"/>
        <w:jc w:val="center"/>
        <w:rPr>
          <w:rFonts w:asciiTheme="majorHAnsi" w:eastAsia="Calibri" w:hAnsiTheme="majorHAnsi" w:cstheme="majorHAnsi"/>
          <w:sz w:val="22"/>
          <w:szCs w:val="22"/>
        </w:rPr>
      </w:pPr>
    </w:p>
    <w:p w14:paraId="1011AA06" w14:textId="77777777" w:rsidR="006B0507" w:rsidRPr="00677968" w:rsidRDefault="006B0507" w:rsidP="006B0507">
      <w:pPr>
        <w:widowControl/>
        <w:tabs>
          <w:tab w:val="left" w:pos="-142"/>
          <w:tab w:val="left" w:pos="0"/>
        </w:tabs>
        <w:ind w:left="0" w:right="51"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Señores</w:t>
      </w:r>
    </w:p>
    <w:p w14:paraId="10B46613" w14:textId="77777777" w:rsidR="006B0507" w:rsidRPr="00677968" w:rsidRDefault="006B0507" w:rsidP="006B0507">
      <w:pPr>
        <w:widowControl/>
        <w:tabs>
          <w:tab w:val="left" w:pos="-142"/>
          <w:tab w:val="left" w:pos="0"/>
        </w:tabs>
        <w:ind w:left="0" w:right="51"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Instituto Amazónico de Investigaciones Científicas “Sinchi”</w:t>
      </w:r>
    </w:p>
    <w:p w14:paraId="73BC9BB9" w14:textId="77777777" w:rsidR="006B0507" w:rsidRPr="00677968" w:rsidRDefault="006B0507" w:rsidP="006B0507">
      <w:pPr>
        <w:widowControl/>
        <w:tabs>
          <w:tab w:val="left" w:pos="-142"/>
          <w:tab w:val="left" w:pos="0"/>
        </w:tabs>
        <w:ind w:left="0" w:right="51" w:hanging="2"/>
        <w:jc w:val="both"/>
        <w:rPr>
          <w:rFonts w:asciiTheme="majorHAnsi" w:eastAsia="Calibri" w:hAnsiTheme="majorHAnsi" w:cstheme="majorHAnsi"/>
          <w:sz w:val="22"/>
          <w:szCs w:val="22"/>
        </w:rPr>
      </w:pPr>
      <w:hyperlink r:id="rId7">
        <w:r w:rsidRPr="00677968">
          <w:rPr>
            <w:rFonts w:asciiTheme="majorHAnsi" w:eastAsia="Calibri" w:hAnsiTheme="majorHAnsi" w:cstheme="majorHAnsi"/>
            <w:color w:val="0000FF"/>
            <w:sz w:val="22"/>
            <w:szCs w:val="22"/>
            <w:u w:val="single"/>
          </w:rPr>
          <w:t>juridica@sinchi.org.co</w:t>
        </w:r>
      </w:hyperlink>
      <w:r w:rsidRPr="00677968">
        <w:rPr>
          <w:rFonts w:asciiTheme="majorHAnsi" w:eastAsia="Calibri" w:hAnsiTheme="majorHAnsi" w:cstheme="majorHAnsi"/>
          <w:sz w:val="22"/>
          <w:szCs w:val="22"/>
        </w:rPr>
        <w:t xml:space="preserve"> </w:t>
      </w:r>
    </w:p>
    <w:p w14:paraId="25AF0A96" w14:textId="77777777" w:rsidR="006B0507" w:rsidRPr="00677968" w:rsidRDefault="006B0507" w:rsidP="006B0507">
      <w:pPr>
        <w:widowControl/>
        <w:tabs>
          <w:tab w:val="left" w:pos="-142"/>
          <w:tab w:val="left" w:pos="0"/>
        </w:tabs>
        <w:ind w:left="0" w:right="51"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Bogotá, D.C. – Colombia</w:t>
      </w:r>
    </w:p>
    <w:p w14:paraId="4735D211" w14:textId="77777777" w:rsidR="006B0507" w:rsidRPr="00677968" w:rsidRDefault="006B0507" w:rsidP="006B0507">
      <w:pPr>
        <w:ind w:left="0" w:hanging="2"/>
        <w:rPr>
          <w:rFonts w:asciiTheme="majorHAnsi" w:eastAsia="Calibri" w:hAnsiTheme="majorHAnsi" w:cstheme="majorHAnsi"/>
          <w:sz w:val="22"/>
          <w:szCs w:val="22"/>
        </w:rPr>
      </w:pPr>
    </w:p>
    <w:p w14:paraId="76C8AB24" w14:textId="77777777" w:rsidR="006B0507" w:rsidRPr="00677968" w:rsidRDefault="006B0507" w:rsidP="006B0507">
      <w:pPr>
        <w:ind w:left="0" w:hanging="2"/>
        <w:rPr>
          <w:rFonts w:asciiTheme="majorHAnsi" w:eastAsia="Calibri" w:hAnsiTheme="majorHAnsi" w:cstheme="majorHAnsi"/>
          <w:sz w:val="22"/>
          <w:szCs w:val="22"/>
        </w:rPr>
      </w:pPr>
    </w:p>
    <w:p w14:paraId="0B5A8389" w14:textId="3AA3AEAB"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b/>
          <w:color w:val="000000"/>
          <w:sz w:val="22"/>
          <w:szCs w:val="22"/>
        </w:rPr>
        <w:t>Asunto:</w:t>
      </w:r>
      <w:r w:rsidRPr="00677968">
        <w:rPr>
          <w:rFonts w:asciiTheme="majorHAnsi" w:eastAsia="Calibri" w:hAnsiTheme="majorHAnsi" w:cstheme="majorHAnsi"/>
          <w:color w:val="000000"/>
          <w:sz w:val="22"/>
          <w:szCs w:val="22"/>
        </w:rPr>
        <w:t xml:space="preserve"> Presentación de oferta a la Cotización No. </w:t>
      </w:r>
      <w:r w:rsidR="0092484E" w:rsidRPr="0092484E">
        <w:rPr>
          <w:rFonts w:asciiTheme="majorHAnsi" w:eastAsia="Calibri" w:hAnsiTheme="majorHAnsi" w:cstheme="majorHAnsi"/>
          <w:color w:val="000000"/>
          <w:sz w:val="22"/>
          <w:szCs w:val="22"/>
        </w:rPr>
        <w:t>CO-SINCHI-549031-GO-RFQ</w:t>
      </w:r>
    </w:p>
    <w:p w14:paraId="2A74D133" w14:textId="77777777" w:rsidR="006B0507" w:rsidRPr="00677968" w:rsidRDefault="006B0507" w:rsidP="006B0507">
      <w:pPr>
        <w:ind w:left="0" w:hanging="2"/>
        <w:rPr>
          <w:rFonts w:asciiTheme="majorHAnsi" w:eastAsia="Calibri" w:hAnsiTheme="majorHAnsi" w:cstheme="majorHAnsi"/>
          <w:sz w:val="22"/>
          <w:szCs w:val="22"/>
        </w:rPr>
      </w:pPr>
    </w:p>
    <w:p w14:paraId="5E8A4E5E" w14:textId="77777777" w:rsidR="006B0507" w:rsidRPr="00677968" w:rsidRDefault="006B0507" w:rsidP="006B0507">
      <w:pPr>
        <w:ind w:left="0" w:hanging="2"/>
        <w:jc w:val="both"/>
        <w:rPr>
          <w:rFonts w:asciiTheme="majorHAnsi" w:eastAsia="Calibri" w:hAnsiTheme="majorHAnsi" w:cstheme="majorHAnsi"/>
          <w:sz w:val="22"/>
          <w:szCs w:val="22"/>
        </w:rPr>
      </w:pPr>
    </w:p>
    <w:p w14:paraId="7AED58DE" w14:textId="77777777"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Estimados señores:</w:t>
      </w:r>
    </w:p>
    <w:p w14:paraId="7E772BFD" w14:textId="77777777" w:rsidR="006B0507" w:rsidRPr="00677968" w:rsidRDefault="006B0507" w:rsidP="006B0507">
      <w:pPr>
        <w:ind w:left="0" w:hanging="2"/>
        <w:jc w:val="both"/>
        <w:rPr>
          <w:rFonts w:asciiTheme="majorHAnsi" w:eastAsia="Calibri" w:hAnsiTheme="majorHAnsi" w:cstheme="majorHAnsi"/>
          <w:sz w:val="22"/>
          <w:szCs w:val="22"/>
        </w:rPr>
      </w:pPr>
    </w:p>
    <w:p w14:paraId="3CDF861E" w14:textId="4994E7B6"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Luego de haber examinado los documentos adjuntos a su solicitud de cotización para el proceso </w:t>
      </w:r>
      <w:r w:rsidRPr="00677968">
        <w:rPr>
          <w:rFonts w:asciiTheme="majorHAnsi" w:eastAsia="Calibri" w:hAnsiTheme="majorHAnsi" w:cstheme="majorHAnsi"/>
          <w:color w:val="000000"/>
          <w:sz w:val="22"/>
          <w:szCs w:val="22"/>
        </w:rPr>
        <w:t xml:space="preserve">de suministro de </w:t>
      </w:r>
      <w:r>
        <w:rPr>
          <w:rFonts w:asciiTheme="majorHAnsi" w:eastAsia="Calibri" w:hAnsiTheme="majorHAnsi" w:cstheme="majorHAnsi"/>
          <w:color w:val="000000"/>
          <w:sz w:val="22"/>
          <w:szCs w:val="22"/>
        </w:rPr>
        <w:t xml:space="preserve">equipos para </w:t>
      </w:r>
      <w:r w:rsidR="0092484E">
        <w:rPr>
          <w:rFonts w:asciiTheme="majorHAnsi" w:eastAsia="Calibri" w:hAnsiTheme="majorHAnsi" w:cstheme="majorHAnsi"/>
          <w:color w:val="000000"/>
          <w:sz w:val="22"/>
          <w:szCs w:val="22"/>
        </w:rPr>
        <w:t>monitoreo</w:t>
      </w:r>
      <w:r w:rsidRPr="00677968">
        <w:rPr>
          <w:rFonts w:asciiTheme="majorHAnsi" w:eastAsia="Calibri" w:hAnsiTheme="majorHAnsi" w:cstheme="majorHAnsi"/>
          <w:sz w:val="22"/>
          <w:szCs w:val="22"/>
        </w:rPr>
        <w:t xml:space="preserve">, los abajo firmantes ofrecemos proveer los  bienes, de acuerdo con las Especificaciones Técnicas, los términos y condiciones de la invitación y de acuerdo con la siguiente tabla: </w:t>
      </w:r>
    </w:p>
    <w:p w14:paraId="6628F474" w14:textId="77777777" w:rsidR="006B0507" w:rsidRPr="00677968" w:rsidRDefault="006B0507" w:rsidP="006B0507">
      <w:pPr>
        <w:ind w:left="0" w:hanging="2"/>
        <w:jc w:val="both"/>
        <w:rPr>
          <w:rFonts w:asciiTheme="majorHAnsi" w:eastAsia="Calibri" w:hAnsiTheme="majorHAnsi" w:cstheme="majorHAnsi"/>
          <w:sz w:val="22"/>
          <w:szCs w:val="22"/>
        </w:rPr>
      </w:pPr>
    </w:p>
    <w:p w14:paraId="4C36F1E3" w14:textId="77777777" w:rsidR="006B0507" w:rsidRPr="00677968" w:rsidRDefault="006B0507" w:rsidP="006B0507">
      <w:pPr>
        <w:ind w:left="0" w:hanging="2"/>
        <w:jc w:val="center"/>
        <w:rPr>
          <w:rFonts w:asciiTheme="majorHAnsi" w:eastAsia="Calibri" w:hAnsiTheme="majorHAnsi" w:cstheme="majorHAnsi"/>
          <w:b/>
          <w:bCs/>
          <w:sz w:val="22"/>
          <w:szCs w:val="22"/>
        </w:rPr>
      </w:pPr>
      <w:r w:rsidRPr="00677968">
        <w:rPr>
          <w:rFonts w:asciiTheme="majorHAnsi" w:eastAsia="Calibri" w:hAnsiTheme="majorHAnsi" w:cstheme="majorHAnsi"/>
          <w:b/>
          <w:bCs/>
          <w:sz w:val="22"/>
          <w:szCs w:val="22"/>
        </w:rPr>
        <w:t>Lote 1</w:t>
      </w:r>
    </w:p>
    <w:tbl>
      <w:tblPr>
        <w:tblW w:w="9532" w:type="dxa"/>
        <w:jc w:val="center"/>
        <w:tblLayout w:type="fixed"/>
        <w:tblLook w:val="0000" w:firstRow="0" w:lastRow="0" w:firstColumn="0" w:lastColumn="0" w:noHBand="0" w:noVBand="0"/>
      </w:tblPr>
      <w:tblGrid>
        <w:gridCol w:w="643"/>
        <w:gridCol w:w="1053"/>
        <w:gridCol w:w="2694"/>
        <w:gridCol w:w="2212"/>
        <w:gridCol w:w="1098"/>
        <w:gridCol w:w="1014"/>
        <w:gridCol w:w="818"/>
      </w:tblGrid>
      <w:tr w:rsidR="006B0507" w:rsidRPr="00677968" w14:paraId="2B86F30A" w14:textId="77777777" w:rsidTr="00DE2AF0">
        <w:trPr>
          <w:trHeight w:val="17"/>
          <w:tblHeader/>
          <w:jc w:val="center"/>
        </w:trPr>
        <w:tc>
          <w:tcPr>
            <w:tcW w:w="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EA72F2"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No. de ítem</w:t>
            </w:r>
          </w:p>
        </w:tc>
        <w:tc>
          <w:tcPr>
            <w:tcW w:w="1053" w:type="dxa"/>
            <w:tcBorders>
              <w:top w:val="single" w:sz="4" w:space="0" w:color="000000"/>
              <w:left w:val="nil"/>
              <w:bottom w:val="single" w:sz="4" w:space="0" w:color="000000"/>
              <w:right w:val="single" w:sz="4" w:space="0" w:color="000000"/>
            </w:tcBorders>
            <w:shd w:val="clear" w:color="auto" w:fill="D9D9D9"/>
            <w:vAlign w:val="center"/>
          </w:tcPr>
          <w:p w14:paraId="274893D2"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Unidad</w:t>
            </w:r>
          </w:p>
        </w:tc>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5B93F7"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Descripción</w:t>
            </w:r>
          </w:p>
        </w:tc>
        <w:tc>
          <w:tcPr>
            <w:tcW w:w="22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838CF"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Especificaciones Técnicas</w:t>
            </w:r>
          </w:p>
        </w:tc>
        <w:tc>
          <w:tcPr>
            <w:tcW w:w="1098" w:type="dxa"/>
            <w:tcBorders>
              <w:top w:val="single" w:sz="4" w:space="0" w:color="000000"/>
              <w:left w:val="nil"/>
              <w:bottom w:val="single" w:sz="4" w:space="0" w:color="000000"/>
              <w:right w:val="single" w:sz="4" w:space="0" w:color="000000"/>
            </w:tcBorders>
            <w:shd w:val="clear" w:color="auto" w:fill="D9D9D9"/>
            <w:vAlign w:val="center"/>
          </w:tcPr>
          <w:p w14:paraId="47B81B04"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Cantidad</w:t>
            </w:r>
          </w:p>
        </w:tc>
        <w:tc>
          <w:tcPr>
            <w:tcW w:w="1014" w:type="dxa"/>
            <w:tcBorders>
              <w:top w:val="single" w:sz="4" w:space="0" w:color="000000"/>
              <w:left w:val="nil"/>
              <w:bottom w:val="single" w:sz="4" w:space="0" w:color="000000"/>
              <w:right w:val="single" w:sz="4" w:space="0" w:color="000000"/>
            </w:tcBorders>
            <w:shd w:val="clear" w:color="auto" w:fill="D9D9D9"/>
            <w:vAlign w:val="center"/>
          </w:tcPr>
          <w:p w14:paraId="7CF13CAB"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Unitario en COP$</w:t>
            </w:r>
          </w:p>
        </w:tc>
        <w:tc>
          <w:tcPr>
            <w:tcW w:w="818" w:type="dxa"/>
            <w:tcBorders>
              <w:top w:val="single" w:sz="4" w:space="0" w:color="000000"/>
              <w:left w:val="nil"/>
              <w:bottom w:val="single" w:sz="4" w:space="0" w:color="000000"/>
              <w:right w:val="single" w:sz="4" w:space="0" w:color="000000"/>
            </w:tcBorders>
            <w:shd w:val="clear" w:color="auto" w:fill="D9D9D9"/>
            <w:vAlign w:val="center"/>
          </w:tcPr>
          <w:p w14:paraId="4DB1729E"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Total en COP$</w:t>
            </w:r>
          </w:p>
        </w:tc>
      </w:tr>
      <w:tr w:rsidR="006B0507" w:rsidRPr="00677968" w14:paraId="4E1A3584" w14:textId="77777777" w:rsidTr="00DE2AF0">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73267FBA"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1</w:t>
            </w:r>
          </w:p>
        </w:tc>
        <w:tc>
          <w:tcPr>
            <w:tcW w:w="1053" w:type="dxa"/>
            <w:tcBorders>
              <w:top w:val="single" w:sz="4" w:space="0" w:color="000000"/>
              <w:left w:val="nil"/>
              <w:bottom w:val="single" w:sz="4" w:space="0" w:color="000000"/>
              <w:right w:val="single" w:sz="4" w:space="0" w:color="000000"/>
            </w:tcBorders>
            <w:vAlign w:val="center"/>
          </w:tcPr>
          <w:p w14:paraId="26FEEC25" w14:textId="77777777" w:rsidR="006B0507" w:rsidRPr="00677968" w:rsidRDefault="006B0507" w:rsidP="00DE2AF0">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Unidad</w:t>
            </w:r>
          </w:p>
        </w:tc>
        <w:tc>
          <w:tcPr>
            <w:tcW w:w="2694" w:type="dxa"/>
            <w:tcBorders>
              <w:top w:val="single" w:sz="4" w:space="0" w:color="auto"/>
              <w:left w:val="single" w:sz="4" w:space="0" w:color="auto"/>
              <w:bottom w:val="single" w:sz="4" w:space="0" w:color="auto"/>
              <w:right w:val="single" w:sz="4" w:space="0" w:color="auto"/>
            </w:tcBorders>
            <w:vAlign w:val="center"/>
          </w:tcPr>
          <w:p w14:paraId="3611934E" w14:textId="77777777" w:rsidR="0092484E" w:rsidRPr="0092484E" w:rsidRDefault="0092484E" w:rsidP="0092484E">
            <w:pPr>
              <w:widowControl/>
              <w:suppressAutoHyphens w:val="0"/>
              <w:spacing w:line="240" w:lineRule="atLeast"/>
              <w:ind w:leftChars="0" w:firstLineChars="0" w:firstLine="0"/>
              <w:jc w:val="both"/>
              <w:textDirection w:val="lrTb"/>
              <w:textAlignment w:val="auto"/>
              <w:outlineLvl w:val="9"/>
              <w:rPr>
                <w:rFonts w:ascii="Calibri" w:eastAsia="Calibri" w:hAnsi="Calibri" w:cs="Calibri"/>
                <w:b/>
                <w:bCs/>
                <w:position w:val="0"/>
                <w:sz w:val="22"/>
                <w:szCs w:val="22"/>
                <w:lang w:eastAsia="es-MX"/>
              </w:rPr>
            </w:pPr>
            <w:r w:rsidRPr="0092484E">
              <w:rPr>
                <w:rFonts w:ascii="Calibri" w:eastAsia="Calibri" w:hAnsi="Calibri" w:cs="Calibri"/>
                <w:b/>
                <w:bCs/>
                <w:position w:val="0"/>
                <w:sz w:val="22"/>
                <w:szCs w:val="22"/>
                <w:lang w:eastAsia="es-MX"/>
              </w:rPr>
              <w:t>Phenocams</w:t>
            </w:r>
          </w:p>
          <w:p w14:paraId="5B4CE243" w14:textId="77777777" w:rsidR="0092484E" w:rsidRPr="0092484E" w:rsidRDefault="0092484E" w:rsidP="0092484E">
            <w:pPr>
              <w:widowControl/>
              <w:suppressAutoHyphens w:val="0"/>
              <w:spacing w:line="240" w:lineRule="atLeast"/>
              <w:ind w:leftChars="0" w:firstLineChars="0" w:firstLine="0"/>
              <w:jc w:val="both"/>
              <w:textDirection w:val="lrTb"/>
              <w:textAlignment w:val="auto"/>
              <w:outlineLvl w:val="9"/>
              <w:rPr>
                <w:rFonts w:ascii="Calibri" w:eastAsia="Calibri" w:hAnsi="Calibri" w:cs="Calibri"/>
                <w:position w:val="0"/>
                <w:sz w:val="22"/>
                <w:szCs w:val="22"/>
                <w:lang w:eastAsia="es-MX"/>
              </w:rPr>
            </w:pPr>
            <w:r w:rsidRPr="0092484E">
              <w:rPr>
                <w:rFonts w:ascii="Calibri" w:eastAsia="Calibri" w:hAnsi="Calibri" w:cs="Calibri"/>
                <w:position w:val="0"/>
                <w:sz w:val="22"/>
                <w:szCs w:val="22"/>
                <w:lang w:eastAsia="es-MX"/>
              </w:rPr>
              <w:t>Camara fija para time-lapse y monitoreo fenológico; PoE o DC 12 V.</w:t>
            </w:r>
          </w:p>
          <w:p w14:paraId="2F9116C2" w14:textId="77777777" w:rsidR="0092484E" w:rsidRPr="0092484E" w:rsidRDefault="0092484E" w:rsidP="0092484E">
            <w:pPr>
              <w:widowControl/>
              <w:suppressAutoHyphens w:val="0"/>
              <w:spacing w:line="240" w:lineRule="atLeast"/>
              <w:ind w:leftChars="0" w:firstLineChars="0" w:firstLine="0"/>
              <w:jc w:val="both"/>
              <w:textDirection w:val="lrTb"/>
              <w:textAlignment w:val="auto"/>
              <w:outlineLvl w:val="9"/>
              <w:rPr>
                <w:rFonts w:ascii="Calibri" w:eastAsia="Calibri" w:hAnsi="Calibri" w:cs="Calibri"/>
                <w:position w:val="0"/>
                <w:sz w:val="22"/>
                <w:szCs w:val="22"/>
                <w:lang w:eastAsia="es-MX"/>
              </w:rPr>
            </w:pPr>
            <w:r w:rsidRPr="0092484E">
              <w:rPr>
                <w:rFonts w:ascii="Calibri" w:eastAsia="Calibri" w:hAnsi="Calibri" w:cs="Calibri"/>
                <w:position w:val="0"/>
                <w:sz w:val="22"/>
                <w:szCs w:val="22"/>
                <w:lang w:eastAsia="es-MX"/>
              </w:rPr>
              <w:t>Resolución ≥8 MP, control de exposición y balance de blancos bloqueable.</w:t>
            </w:r>
          </w:p>
          <w:p w14:paraId="6C22D1F6" w14:textId="77777777" w:rsidR="0092484E" w:rsidRPr="0092484E" w:rsidRDefault="0092484E" w:rsidP="0092484E">
            <w:pPr>
              <w:widowControl/>
              <w:suppressAutoHyphens w:val="0"/>
              <w:spacing w:line="240" w:lineRule="atLeast"/>
              <w:ind w:leftChars="0" w:firstLineChars="0" w:firstLine="0"/>
              <w:jc w:val="both"/>
              <w:textDirection w:val="lrTb"/>
              <w:textAlignment w:val="auto"/>
              <w:outlineLvl w:val="9"/>
              <w:rPr>
                <w:rFonts w:ascii="Calibri" w:eastAsia="Calibri" w:hAnsi="Calibri" w:cs="Calibri"/>
                <w:position w:val="0"/>
                <w:sz w:val="22"/>
                <w:szCs w:val="22"/>
                <w:lang w:eastAsia="es-MX"/>
              </w:rPr>
            </w:pPr>
            <w:r w:rsidRPr="0092484E">
              <w:rPr>
                <w:rFonts w:ascii="Calibri" w:eastAsia="Calibri" w:hAnsi="Calibri" w:cs="Calibri"/>
                <w:position w:val="0"/>
                <w:sz w:val="22"/>
                <w:szCs w:val="22"/>
                <w:lang w:eastAsia="es-MX"/>
              </w:rPr>
              <w:t>Programación de captura (intervalómetro) y calendario; formatos RAW/JPEG.</w:t>
            </w:r>
          </w:p>
          <w:p w14:paraId="0EDDC122" w14:textId="77777777" w:rsidR="0092484E" w:rsidRPr="0092484E" w:rsidRDefault="0092484E" w:rsidP="0092484E">
            <w:pPr>
              <w:widowControl/>
              <w:suppressAutoHyphens w:val="0"/>
              <w:spacing w:line="240" w:lineRule="atLeast"/>
              <w:ind w:leftChars="0" w:firstLineChars="0" w:firstLine="0"/>
              <w:jc w:val="both"/>
              <w:textDirection w:val="lrTb"/>
              <w:textAlignment w:val="auto"/>
              <w:outlineLvl w:val="9"/>
              <w:rPr>
                <w:rFonts w:ascii="Calibri" w:eastAsia="Calibri" w:hAnsi="Calibri" w:cs="Calibri"/>
                <w:position w:val="0"/>
                <w:sz w:val="22"/>
                <w:szCs w:val="22"/>
                <w:lang w:eastAsia="es-MX"/>
              </w:rPr>
            </w:pPr>
            <w:r w:rsidRPr="0092484E">
              <w:rPr>
                <w:rFonts w:ascii="Calibri" w:eastAsia="Calibri" w:hAnsi="Calibri" w:cs="Calibri"/>
                <w:position w:val="0"/>
                <w:sz w:val="22"/>
                <w:szCs w:val="22"/>
                <w:lang w:eastAsia="es-MX"/>
              </w:rPr>
              <w:t>Carcasa exterior con dome/ventana óptica, IP66 o superior, antiempañante, desecantes y ventilación pasiva/activa.</w:t>
            </w:r>
          </w:p>
          <w:p w14:paraId="6C46E514" w14:textId="77777777" w:rsidR="0092484E" w:rsidRPr="0092484E" w:rsidRDefault="0092484E" w:rsidP="0092484E">
            <w:pPr>
              <w:widowControl/>
              <w:suppressAutoHyphens w:val="0"/>
              <w:spacing w:line="240" w:lineRule="atLeast"/>
              <w:ind w:leftChars="0" w:firstLineChars="0" w:firstLine="0"/>
              <w:jc w:val="both"/>
              <w:textDirection w:val="lrTb"/>
              <w:textAlignment w:val="auto"/>
              <w:outlineLvl w:val="9"/>
              <w:rPr>
                <w:rFonts w:ascii="Calibri" w:eastAsia="Calibri" w:hAnsi="Calibri" w:cs="Calibri"/>
                <w:position w:val="0"/>
                <w:sz w:val="22"/>
                <w:szCs w:val="22"/>
                <w:lang w:eastAsia="es-MX"/>
              </w:rPr>
            </w:pPr>
            <w:r w:rsidRPr="0092484E">
              <w:rPr>
                <w:rFonts w:ascii="Calibri" w:eastAsia="Calibri" w:hAnsi="Calibri" w:cs="Calibri"/>
                <w:position w:val="0"/>
                <w:sz w:val="22"/>
                <w:szCs w:val="22"/>
                <w:lang w:eastAsia="es-MX"/>
              </w:rPr>
              <w:t>Rango ambiental tropical; soporte para referencia de color (panel) valorable.</w:t>
            </w:r>
          </w:p>
          <w:p w14:paraId="76CF2527" w14:textId="77777777" w:rsidR="0092484E" w:rsidRPr="0092484E" w:rsidRDefault="0092484E" w:rsidP="0092484E">
            <w:pPr>
              <w:widowControl/>
              <w:suppressAutoHyphens w:val="0"/>
              <w:spacing w:line="240" w:lineRule="atLeast"/>
              <w:ind w:leftChars="0" w:firstLineChars="0" w:firstLine="0"/>
              <w:jc w:val="both"/>
              <w:textDirection w:val="lrTb"/>
              <w:textAlignment w:val="auto"/>
              <w:outlineLvl w:val="9"/>
              <w:rPr>
                <w:rFonts w:ascii="Calibri" w:eastAsia="Calibri" w:hAnsi="Calibri" w:cs="Calibri"/>
                <w:position w:val="0"/>
                <w:sz w:val="22"/>
                <w:szCs w:val="22"/>
                <w:lang w:eastAsia="es-MX"/>
              </w:rPr>
            </w:pPr>
            <w:r w:rsidRPr="0092484E">
              <w:rPr>
                <w:rFonts w:ascii="Calibri" w:eastAsia="Calibri" w:hAnsi="Calibri" w:cs="Calibri"/>
                <w:position w:val="0"/>
                <w:sz w:val="22"/>
                <w:szCs w:val="22"/>
                <w:lang w:eastAsia="es-MX"/>
              </w:rPr>
              <w:lastRenderedPageBreak/>
              <w:t>Conectividad: Ethernet/4G; almacenamiento local (≥128 GB) + subida remota.</w:t>
            </w:r>
          </w:p>
          <w:p w14:paraId="23A9C969" w14:textId="03D130CC" w:rsidR="006B0507" w:rsidRPr="00677968" w:rsidRDefault="0092484E" w:rsidP="0092484E">
            <w:pPr>
              <w:ind w:left="0" w:hanging="2"/>
              <w:rPr>
                <w:rFonts w:asciiTheme="majorHAnsi" w:eastAsia="Calibri" w:hAnsiTheme="majorHAnsi" w:cstheme="majorHAnsi"/>
                <w:color w:val="000000"/>
                <w:sz w:val="22"/>
                <w:szCs w:val="22"/>
              </w:rPr>
            </w:pPr>
            <w:r w:rsidRPr="0092484E">
              <w:rPr>
                <w:rFonts w:ascii="Calibri" w:eastAsia="Calibri" w:hAnsi="Calibri" w:cs="Calibri"/>
                <w:position w:val="0"/>
                <w:sz w:val="22"/>
                <w:szCs w:val="22"/>
                <w:lang w:eastAsia="es-MX"/>
              </w:rPr>
              <w:t>Montaje en mástil/torre; soportes antivibración</w:t>
            </w:r>
            <w:r w:rsidRPr="0092484E">
              <w:rPr>
                <w:rFonts w:ascii="Calibri" w:eastAsia="Calibri" w:hAnsi="Calibri" w:cs="Calibri"/>
                <w:b/>
                <w:bCs/>
                <w:position w:val="0"/>
                <w:sz w:val="22"/>
                <w:szCs w:val="22"/>
                <w:lang w:eastAsia="es-MX"/>
              </w:rPr>
              <w:t>.</w:t>
            </w:r>
          </w:p>
        </w:tc>
        <w:tc>
          <w:tcPr>
            <w:tcW w:w="2212" w:type="dxa"/>
            <w:tcBorders>
              <w:top w:val="single" w:sz="4" w:space="0" w:color="000000"/>
              <w:left w:val="single" w:sz="4" w:space="0" w:color="000000"/>
              <w:bottom w:val="single" w:sz="4" w:space="0" w:color="000000"/>
              <w:right w:val="single" w:sz="4" w:space="0" w:color="000000"/>
            </w:tcBorders>
            <w:vAlign w:val="center"/>
          </w:tcPr>
          <w:p w14:paraId="43A07C30" w14:textId="77777777" w:rsidR="006B0507" w:rsidRPr="00677968" w:rsidRDefault="006B0507" w:rsidP="00DE2AF0">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7EC91C5E" w14:textId="7D684CED" w:rsidR="006B0507" w:rsidRPr="00677968" w:rsidRDefault="0092484E" w:rsidP="00DE2AF0">
            <w:pPr>
              <w:ind w:left="0" w:hanging="2"/>
              <w:jc w:val="center"/>
              <w:rPr>
                <w:rFonts w:asciiTheme="majorHAnsi" w:eastAsia="Calibri" w:hAnsiTheme="majorHAnsi" w:cstheme="majorHAnsi"/>
                <w:sz w:val="22"/>
                <w:szCs w:val="22"/>
              </w:rPr>
            </w:pPr>
            <w:r>
              <w:rPr>
                <w:rFonts w:asciiTheme="majorHAnsi" w:eastAsia="Calibri" w:hAnsiTheme="majorHAnsi" w:cstheme="majorHAnsi"/>
                <w:sz w:val="22"/>
                <w:szCs w:val="22"/>
              </w:rPr>
              <w:t>4</w:t>
            </w:r>
          </w:p>
        </w:tc>
        <w:tc>
          <w:tcPr>
            <w:tcW w:w="1014" w:type="dxa"/>
            <w:tcBorders>
              <w:top w:val="nil"/>
              <w:left w:val="nil"/>
              <w:bottom w:val="single" w:sz="4" w:space="0" w:color="000000"/>
              <w:right w:val="single" w:sz="4" w:space="0" w:color="000000"/>
            </w:tcBorders>
            <w:vAlign w:val="center"/>
          </w:tcPr>
          <w:p w14:paraId="045247AD" w14:textId="77777777" w:rsidR="006B0507" w:rsidRPr="00677968" w:rsidRDefault="006B0507" w:rsidP="00DE2AF0">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000000"/>
              <w:right w:val="single" w:sz="4" w:space="0" w:color="000000"/>
            </w:tcBorders>
            <w:vAlign w:val="center"/>
          </w:tcPr>
          <w:p w14:paraId="63945F55" w14:textId="77777777" w:rsidR="006B0507" w:rsidRPr="00677968" w:rsidRDefault="006B0507" w:rsidP="00DE2AF0">
            <w:pPr>
              <w:ind w:left="0" w:hanging="2"/>
              <w:jc w:val="center"/>
              <w:rPr>
                <w:rFonts w:asciiTheme="majorHAnsi" w:eastAsia="Calibri" w:hAnsiTheme="majorHAnsi" w:cstheme="majorHAnsi"/>
                <w:sz w:val="22"/>
                <w:szCs w:val="22"/>
              </w:rPr>
            </w:pPr>
          </w:p>
        </w:tc>
      </w:tr>
    </w:tbl>
    <w:p w14:paraId="5E83E989" w14:textId="77777777" w:rsidR="006B0507" w:rsidRPr="00677968" w:rsidRDefault="006B0507" w:rsidP="006B0507">
      <w:pPr>
        <w:ind w:left="0" w:hanging="2"/>
        <w:jc w:val="both"/>
        <w:rPr>
          <w:rFonts w:asciiTheme="majorHAnsi" w:eastAsia="Calibri" w:hAnsiTheme="majorHAnsi" w:cstheme="majorHAnsi"/>
          <w:b/>
          <w:sz w:val="22"/>
          <w:szCs w:val="22"/>
        </w:rPr>
      </w:pPr>
    </w:p>
    <w:p w14:paraId="05A30BC8" w14:textId="77777777" w:rsidR="006B0507" w:rsidRPr="00677968" w:rsidRDefault="006B0507" w:rsidP="006B0507">
      <w:pPr>
        <w:ind w:left="0" w:hanging="2"/>
        <w:jc w:val="center"/>
        <w:rPr>
          <w:rFonts w:asciiTheme="majorHAnsi" w:eastAsia="Calibri" w:hAnsiTheme="majorHAnsi" w:cstheme="majorHAnsi"/>
          <w:b/>
          <w:bCs/>
          <w:sz w:val="22"/>
          <w:szCs w:val="22"/>
        </w:rPr>
      </w:pPr>
      <w:r w:rsidRPr="00677968">
        <w:rPr>
          <w:rFonts w:asciiTheme="majorHAnsi" w:eastAsia="Calibri" w:hAnsiTheme="majorHAnsi" w:cstheme="majorHAnsi"/>
          <w:b/>
          <w:bCs/>
          <w:sz w:val="22"/>
          <w:szCs w:val="22"/>
        </w:rPr>
        <w:t>Lote 2</w:t>
      </w:r>
    </w:p>
    <w:tbl>
      <w:tblPr>
        <w:tblW w:w="9532" w:type="dxa"/>
        <w:jc w:val="center"/>
        <w:tblLayout w:type="fixed"/>
        <w:tblLook w:val="0000" w:firstRow="0" w:lastRow="0" w:firstColumn="0" w:lastColumn="0" w:noHBand="0" w:noVBand="0"/>
      </w:tblPr>
      <w:tblGrid>
        <w:gridCol w:w="643"/>
        <w:gridCol w:w="1053"/>
        <w:gridCol w:w="2694"/>
        <w:gridCol w:w="2212"/>
        <w:gridCol w:w="1098"/>
        <w:gridCol w:w="1014"/>
        <w:gridCol w:w="818"/>
      </w:tblGrid>
      <w:tr w:rsidR="006B0507" w:rsidRPr="00677968" w14:paraId="48713C53" w14:textId="77777777" w:rsidTr="00DE2AF0">
        <w:trPr>
          <w:trHeight w:val="17"/>
          <w:tblHeader/>
          <w:jc w:val="center"/>
        </w:trPr>
        <w:tc>
          <w:tcPr>
            <w:tcW w:w="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07B76B"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No. de ítem</w:t>
            </w:r>
          </w:p>
        </w:tc>
        <w:tc>
          <w:tcPr>
            <w:tcW w:w="1053" w:type="dxa"/>
            <w:tcBorders>
              <w:top w:val="single" w:sz="4" w:space="0" w:color="000000"/>
              <w:left w:val="nil"/>
              <w:bottom w:val="single" w:sz="4" w:space="0" w:color="000000"/>
              <w:right w:val="single" w:sz="4" w:space="0" w:color="000000"/>
            </w:tcBorders>
            <w:shd w:val="clear" w:color="auto" w:fill="D9D9D9"/>
            <w:vAlign w:val="center"/>
          </w:tcPr>
          <w:p w14:paraId="521473D0"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Unidad</w:t>
            </w:r>
          </w:p>
        </w:tc>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ABDAA3"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Descripción</w:t>
            </w:r>
          </w:p>
        </w:tc>
        <w:tc>
          <w:tcPr>
            <w:tcW w:w="22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EF8484"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Especificaciones Técnicas</w:t>
            </w:r>
          </w:p>
        </w:tc>
        <w:tc>
          <w:tcPr>
            <w:tcW w:w="1098" w:type="dxa"/>
            <w:tcBorders>
              <w:top w:val="single" w:sz="4" w:space="0" w:color="000000"/>
              <w:left w:val="nil"/>
              <w:bottom w:val="single" w:sz="4" w:space="0" w:color="000000"/>
              <w:right w:val="single" w:sz="4" w:space="0" w:color="000000"/>
            </w:tcBorders>
            <w:shd w:val="clear" w:color="auto" w:fill="D9D9D9"/>
            <w:vAlign w:val="center"/>
          </w:tcPr>
          <w:p w14:paraId="6BBBABF8"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Cantidad</w:t>
            </w:r>
          </w:p>
        </w:tc>
        <w:tc>
          <w:tcPr>
            <w:tcW w:w="1014" w:type="dxa"/>
            <w:tcBorders>
              <w:top w:val="single" w:sz="4" w:space="0" w:color="000000"/>
              <w:left w:val="nil"/>
              <w:bottom w:val="single" w:sz="4" w:space="0" w:color="000000"/>
              <w:right w:val="single" w:sz="4" w:space="0" w:color="000000"/>
            </w:tcBorders>
            <w:shd w:val="clear" w:color="auto" w:fill="D9D9D9"/>
            <w:vAlign w:val="center"/>
          </w:tcPr>
          <w:p w14:paraId="19C13824"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Unitario en COP$</w:t>
            </w:r>
          </w:p>
        </w:tc>
        <w:tc>
          <w:tcPr>
            <w:tcW w:w="818" w:type="dxa"/>
            <w:tcBorders>
              <w:top w:val="single" w:sz="4" w:space="0" w:color="000000"/>
              <w:left w:val="nil"/>
              <w:bottom w:val="single" w:sz="4" w:space="0" w:color="000000"/>
              <w:right w:val="single" w:sz="4" w:space="0" w:color="000000"/>
            </w:tcBorders>
            <w:shd w:val="clear" w:color="auto" w:fill="D9D9D9"/>
            <w:vAlign w:val="center"/>
          </w:tcPr>
          <w:p w14:paraId="2493780C"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Total en COP$</w:t>
            </w:r>
          </w:p>
        </w:tc>
      </w:tr>
      <w:tr w:rsidR="006B0507" w:rsidRPr="00677968" w14:paraId="167BA575" w14:textId="77777777" w:rsidTr="00DE2AF0">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3B241F6F"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1</w:t>
            </w:r>
          </w:p>
        </w:tc>
        <w:tc>
          <w:tcPr>
            <w:tcW w:w="1053" w:type="dxa"/>
            <w:tcBorders>
              <w:top w:val="single" w:sz="4" w:space="0" w:color="000000"/>
              <w:left w:val="nil"/>
              <w:bottom w:val="single" w:sz="4" w:space="0" w:color="000000"/>
              <w:right w:val="single" w:sz="4" w:space="0" w:color="000000"/>
            </w:tcBorders>
            <w:vAlign w:val="center"/>
          </w:tcPr>
          <w:p w14:paraId="73D6B2A6" w14:textId="77777777" w:rsidR="006B0507" w:rsidRPr="00677968" w:rsidRDefault="006B0507" w:rsidP="00DE2AF0">
            <w:pPr>
              <w:ind w:left="0" w:hanging="2"/>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Unidad</w:t>
            </w:r>
          </w:p>
        </w:tc>
        <w:tc>
          <w:tcPr>
            <w:tcW w:w="2694" w:type="dxa"/>
            <w:tcBorders>
              <w:top w:val="single" w:sz="4" w:space="0" w:color="auto"/>
              <w:left w:val="single" w:sz="4" w:space="0" w:color="auto"/>
              <w:bottom w:val="single" w:sz="4" w:space="0" w:color="auto"/>
              <w:right w:val="single" w:sz="4" w:space="0" w:color="auto"/>
            </w:tcBorders>
          </w:tcPr>
          <w:p w14:paraId="03E6FBB9" w14:textId="77777777" w:rsidR="0092484E" w:rsidRPr="0092484E" w:rsidRDefault="0092484E" w:rsidP="0092484E">
            <w:pPr>
              <w:ind w:left="0" w:hanging="2"/>
              <w:jc w:val="both"/>
              <w:rPr>
                <w:rFonts w:asciiTheme="majorHAnsi" w:hAnsiTheme="majorHAnsi" w:cstheme="majorHAnsi"/>
                <w:b/>
                <w:bCs/>
                <w:sz w:val="22"/>
                <w:szCs w:val="22"/>
              </w:rPr>
            </w:pPr>
            <w:r w:rsidRPr="0092484E">
              <w:rPr>
                <w:rFonts w:asciiTheme="majorHAnsi" w:hAnsiTheme="majorHAnsi" w:cstheme="majorHAnsi"/>
                <w:b/>
                <w:bCs/>
                <w:sz w:val="22"/>
                <w:szCs w:val="22"/>
              </w:rPr>
              <w:t>Sistema de flujo de savia – Sapflow</w:t>
            </w:r>
          </w:p>
          <w:p w14:paraId="4F539709" w14:textId="77777777" w:rsidR="0092484E" w:rsidRPr="0092484E" w:rsidRDefault="0092484E" w:rsidP="0092484E">
            <w:pPr>
              <w:ind w:left="0" w:hanging="2"/>
              <w:jc w:val="both"/>
              <w:rPr>
                <w:rFonts w:asciiTheme="majorHAnsi" w:hAnsiTheme="majorHAnsi" w:cstheme="majorHAnsi"/>
                <w:sz w:val="22"/>
                <w:szCs w:val="22"/>
              </w:rPr>
            </w:pPr>
            <w:r w:rsidRPr="0092484E">
              <w:rPr>
                <w:rFonts w:asciiTheme="majorHAnsi" w:hAnsiTheme="majorHAnsi" w:cstheme="majorHAnsi"/>
                <w:sz w:val="22"/>
                <w:szCs w:val="22"/>
              </w:rPr>
              <w:t>Tecnología de pulso de calor.</w:t>
            </w:r>
          </w:p>
          <w:p w14:paraId="54D62243" w14:textId="77777777" w:rsidR="0092484E" w:rsidRPr="0092484E" w:rsidRDefault="0092484E" w:rsidP="0092484E">
            <w:pPr>
              <w:ind w:left="0" w:hanging="2"/>
              <w:jc w:val="both"/>
              <w:rPr>
                <w:rFonts w:asciiTheme="majorHAnsi" w:hAnsiTheme="majorHAnsi" w:cstheme="majorHAnsi"/>
                <w:sz w:val="22"/>
                <w:szCs w:val="22"/>
              </w:rPr>
            </w:pPr>
            <w:r w:rsidRPr="0092484E">
              <w:rPr>
                <w:rFonts w:asciiTheme="majorHAnsi" w:hAnsiTheme="majorHAnsi" w:cstheme="majorHAnsi"/>
                <w:sz w:val="22"/>
                <w:szCs w:val="22"/>
              </w:rPr>
              <w:t>Rango de tallos: 1–30 cm O (sondas de diferentes longitudes).</w:t>
            </w:r>
          </w:p>
          <w:p w14:paraId="35ED570E" w14:textId="77777777" w:rsidR="0092484E" w:rsidRPr="0092484E" w:rsidRDefault="0092484E" w:rsidP="0092484E">
            <w:pPr>
              <w:ind w:left="0" w:hanging="2"/>
              <w:jc w:val="both"/>
              <w:rPr>
                <w:rFonts w:asciiTheme="majorHAnsi" w:hAnsiTheme="majorHAnsi" w:cstheme="majorHAnsi"/>
                <w:sz w:val="22"/>
                <w:szCs w:val="22"/>
              </w:rPr>
            </w:pPr>
            <w:r w:rsidRPr="0092484E">
              <w:rPr>
                <w:rFonts w:asciiTheme="majorHAnsi" w:hAnsiTheme="majorHAnsi" w:cstheme="majorHAnsi"/>
                <w:sz w:val="22"/>
                <w:szCs w:val="22"/>
              </w:rPr>
              <w:t>Estabilidad térmica y compensación de temperatura incorporada.</w:t>
            </w:r>
          </w:p>
          <w:p w14:paraId="6D319172" w14:textId="77777777" w:rsidR="0092484E" w:rsidRPr="0092484E" w:rsidRDefault="0092484E" w:rsidP="0092484E">
            <w:pPr>
              <w:ind w:left="0" w:hanging="2"/>
              <w:jc w:val="both"/>
              <w:rPr>
                <w:rFonts w:asciiTheme="majorHAnsi" w:hAnsiTheme="majorHAnsi" w:cstheme="majorHAnsi"/>
                <w:sz w:val="22"/>
                <w:szCs w:val="22"/>
              </w:rPr>
            </w:pPr>
            <w:r w:rsidRPr="0092484E">
              <w:rPr>
                <w:rFonts w:asciiTheme="majorHAnsi" w:hAnsiTheme="majorHAnsi" w:cstheme="majorHAnsi"/>
                <w:sz w:val="22"/>
                <w:szCs w:val="22"/>
              </w:rPr>
              <w:t>Frecuencia configurable (≥1 lectura/min; registro promedio 1–15 min).</w:t>
            </w:r>
          </w:p>
          <w:p w14:paraId="21A5A8B2" w14:textId="77777777" w:rsidR="0092484E" w:rsidRPr="0092484E" w:rsidRDefault="0092484E" w:rsidP="0092484E">
            <w:pPr>
              <w:ind w:left="0" w:hanging="2"/>
              <w:jc w:val="both"/>
              <w:rPr>
                <w:rFonts w:asciiTheme="majorHAnsi" w:hAnsiTheme="majorHAnsi" w:cstheme="majorHAnsi"/>
                <w:sz w:val="22"/>
                <w:szCs w:val="22"/>
              </w:rPr>
            </w:pPr>
            <w:r w:rsidRPr="0092484E">
              <w:rPr>
                <w:rFonts w:asciiTheme="majorHAnsi" w:hAnsiTheme="majorHAnsi" w:cstheme="majorHAnsi"/>
                <w:sz w:val="22"/>
                <w:szCs w:val="22"/>
              </w:rPr>
              <w:t>Consumo reducido para operación con batería/solar.</w:t>
            </w:r>
          </w:p>
          <w:p w14:paraId="6B4565E4" w14:textId="77777777" w:rsidR="0092484E" w:rsidRPr="0092484E" w:rsidRDefault="0092484E" w:rsidP="0092484E">
            <w:pPr>
              <w:ind w:left="0" w:hanging="2"/>
              <w:jc w:val="both"/>
              <w:rPr>
                <w:rFonts w:asciiTheme="majorHAnsi" w:hAnsiTheme="majorHAnsi" w:cstheme="majorHAnsi"/>
                <w:sz w:val="22"/>
                <w:szCs w:val="22"/>
              </w:rPr>
            </w:pPr>
            <w:r w:rsidRPr="0092484E">
              <w:rPr>
                <w:rFonts w:asciiTheme="majorHAnsi" w:hAnsiTheme="majorHAnsi" w:cstheme="majorHAnsi"/>
                <w:sz w:val="22"/>
                <w:szCs w:val="22"/>
              </w:rPr>
              <w:t>Salida: analógica o digital compatible con dataloggers comunes; cables intemperie.</w:t>
            </w:r>
          </w:p>
          <w:p w14:paraId="6062C2A1" w14:textId="77777777" w:rsidR="0092484E" w:rsidRPr="0092484E" w:rsidRDefault="0092484E" w:rsidP="0092484E">
            <w:pPr>
              <w:ind w:left="0" w:hanging="2"/>
              <w:jc w:val="both"/>
              <w:rPr>
                <w:rFonts w:asciiTheme="majorHAnsi" w:hAnsiTheme="majorHAnsi" w:cstheme="majorHAnsi"/>
                <w:sz w:val="22"/>
                <w:szCs w:val="22"/>
              </w:rPr>
            </w:pPr>
            <w:r w:rsidRPr="0092484E">
              <w:rPr>
                <w:rFonts w:asciiTheme="majorHAnsi" w:hAnsiTheme="majorHAnsi" w:cstheme="majorHAnsi"/>
                <w:sz w:val="22"/>
                <w:szCs w:val="22"/>
              </w:rPr>
              <w:t>Accesorios: aislantes térmicos, pasta conductora, perforadores/plantillas.</w:t>
            </w:r>
          </w:p>
          <w:p w14:paraId="47D17C6B" w14:textId="77777777" w:rsidR="0092484E" w:rsidRPr="0092484E" w:rsidRDefault="0092484E" w:rsidP="0092484E">
            <w:pPr>
              <w:ind w:left="0" w:hanging="2"/>
              <w:jc w:val="both"/>
              <w:rPr>
                <w:rFonts w:asciiTheme="majorHAnsi" w:hAnsiTheme="majorHAnsi" w:cstheme="majorHAnsi"/>
                <w:sz w:val="22"/>
                <w:szCs w:val="22"/>
              </w:rPr>
            </w:pPr>
            <w:r w:rsidRPr="0092484E">
              <w:rPr>
                <w:rFonts w:asciiTheme="majorHAnsi" w:hAnsiTheme="majorHAnsi" w:cstheme="majorHAnsi"/>
                <w:sz w:val="22"/>
                <w:szCs w:val="22"/>
              </w:rPr>
              <w:t>Software de cálculo con correcciones (gradientes térmicos basales, calibraciones).</w:t>
            </w:r>
          </w:p>
          <w:p w14:paraId="4A9EFE38" w14:textId="77777777" w:rsidR="0092484E" w:rsidRPr="0092484E" w:rsidRDefault="0092484E" w:rsidP="0092484E">
            <w:pPr>
              <w:ind w:left="0" w:hanging="2"/>
              <w:jc w:val="both"/>
              <w:rPr>
                <w:rFonts w:asciiTheme="majorHAnsi" w:hAnsiTheme="majorHAnsi" w:cstheme="majorHAnsi"/>
                <w:sz w:val="22"/>
                <w:szCs w:val="22"/>
              </w:rPr>
            </w:pPr>
            <w:r w:rsidRPr="0092484E">
              <w:rPr>
                <w:rFonts w:asciiTheme="majorHAnsi" w:hAnsiTheme="majorHAnsi" w:cstheme="majorHAnsi"/>
                <w:sz w:val="22"/>
                <w:szCs w:val="22"/>
              </w:rPr>
              <w:t>Manual de instalación no destructiva y guía de mantenimiento.</w:t>
            </w:r>
          </w:p>
          <w:p w14:paraId="56F9932F" w14:textId="1593F724" w:rsidR="006B0507" w:rsidRPr="00677968" w:rsidRDefault="0092484E" w:rsidP="0092484E">
            <w:pPr>
              <w:ind w:left="0" w:hanging="2"/>
              <w:jc w:val="both"/>
              <w:rPr>
                <w:rFonts w:asciiTheme="majorHAnsi" w:eastAsia="Calibri" w:hAnsiTheme="majorHAnsi" w:cstheme="majorHAnsi"/>
                <w:color w:val="000000"/>
                <w:sz w:val="22"/>
                <w:szCs w:val="22"/>
              </w:rPr>
            </w:pPr>
            <w:r w:rsidRPr="0092484E">
              <w:rPr>
                <w:rFonts w:asciiTheme="majorHAnsi" w:hAnsiTheme="majorHAnsi" w:cstheme="majorHAnsi"/>
                <w:sz w:val="22"/>
                <w:szCs w:val="22"/>
              </w:rPr>
              <w:lastRenderedPageBreak/>
              <w:t>Sistema de almacenamiento: datalogger o sistema de transmisión de datos vía Ethernet/4G</w:t>
            </w:r>
            <w:r w:rsidRPr="0092484E">
              <w:rPr>
                <w:rFonts w:asciiTheme="majorHAnsi" w:hAnsiTheme="majorHAnsi" w:cstheme="majorHAnsi"/>
                <w:sz w:val="22"/>
                <w:szCs w:val="22"/>
              </w:rPr>
              <w:t>.</w:t>
            </w:r>
          </w:p>
        </w:tc>
        <w:tc>
          <w:tcPr>
            <w:tcW w:w="2212" w:type="dxa"/>
            <w:tcBorders>
              <w:top w:val="single" w:sz="4" w:space="0" w:color="000000"/>
              <w:left w:val="single" w:sz="4" w:space="0" w:color="000000"/>
              <w:bottom w:val="single" w:sz="4" w:space="0" w:color="000000"/>
              <w:right w:val="single" w:sz="4" w:space="0" w:color="000000"/>
            </w:tcBorders>
            <w:vAlign w:val="center"/>
          </w:tcPr>
          <w:p w14:paraId="3F90556E" w14:textId="77777777" w:rsidR="006B0507" w:rsidRPr="00677968" w:rsidRDefault="006B0507" w:rsidP="00DE2AF0">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1F2A3142" w14:textId="77777777" w:rsidR="006B0507" w:rsidRDefault="006B0507" w:rsidP="00DE2AF0">
            <w:pPr>
              <w:ind w:left="0" w:hanging="2"/>
              <w:jc w:val="center"/>
              <w:rPr>
                <w:rFonts w:asciiTheme="majorHAnsi" w:hAnsiTheme="majorHAnsi" w:cstheme="majorHAnsi"/>
                <w:sz w:val="22"/>
                <w:szCs w:val="22"/>
              </w:rPr>
            </w:pPr>
          </w:p>
          <w:p w14:paraId="30B071B7" w14:textId="77777777" w:rsidR="006B0507" w:rsidRDefault="006B0507" w:rsidP="00DE2AF0">
            <w:pPr>
              <w:ind w:left="0" w:hanging="2"/>
              <w:jc w:val="center"/>
              <w:rPr>
                <w:rFonts w:asciiTheme="majorHAnsi" w:hAnsiTheme="majorHAnsi" w:cstheme="majorHAnsi"/>
                <w:sz w:val="22"/>
                <w:szCs w:val="22"/>
              </w:rPr>
            </w:pPr>
          </w:p>
          <w:p w14:paraId="356BFAE7" w14:textId="77777777" w:rsidR="0092484E" w:rsidRDefault="0092484E" w:rsidP="00DE2AF0">
            <w:pPr>
              <w:ind w:leftChars="0" w:left="0" w:firstLineChars="0" w:firstLine="0"/>
              <w:jc w:val="center"/>
              <w:rPr>
                <w:rFonts w:asciiTheme="majorHAnsi" w:hAnsiTheme="majorHAnsi" w:cstheme="majorHAnsi"/>
                <w:sz w:val="22"/>
                <w:szCs w:val="22"/>
              </w:rPr>
            </w:pPr>
          </w:p>
          <w:p w14:paraId="353D96BB" w14:textId="77777777" w:rsidR="0092484E" w:rsidRDefault="0092484E" w:rsidP="00DE2AF0">
            <w:pPr>
              <w:ind w:leftChars="0" w:left="0" w:firstLineChars="0" w:firstLine="0"/>
              <w:jc w:val="center"/>
              <w:rPr>
                <w:rFonts w:asciiTheme="majorHAnsi" w:hAnsiTheme="majorHAnsi" w:cstheme="majorHAnsi"/>
                <w:sz w:val="22"/>
                <w:szCs w:val="22"/>
              </w:rPr>
            </w:pPr>
          </w:p>
          <w:p w14:paraId="3500571A" w14:textId="77777777" w:rsidR="0092484E" w:rsidRDefault="0092484E" w:rsidP="00DE2AF0">
            <w:pPr>
              <w:ind w:leftChars="0" w:left="0" w:firstLineChars="0" w:firstLine="0"/>
              <w:jc w:val="center"/>
              <w:rPr>
                <w:rFonts w:asciiTheme="majorHAnsi" w:hAnsiTheme="majorHAnsi" w:cstheme="majorHAnsi"/>
                <w:sz w:val="22"/>
                <w:szCs w:val="22"/>
              </w:rPr>
            </w:pPr>
          </w:p>
          <w:p w14:paraId="2ED6446E" w14:textId="77777777" w:rsidR="0092484E" w:rsidRDefault="0092484E" w:rsidP="00DE2AF0">
            <w:pPr>
              <w:ind w:leftChars="0" w:left="0" w:firstLineChars="0" w:firstLine="0"/>
              <w:jc w:val="center"/>
              <w:rPr>
                <w:rFonts w:asciiTheme="majorHAnsi" w:hAnsiTheme="majorHAnsi" w:cstheme="majorHAnsi"/>
                <w:sz w:val="22"/>
                <w:szCs w:val="22"/>
              </w:rPr>
            </w:pPr>
          </w:p>
          <w:p w14:paraId="02342B66" w14:textId="77777777" w:rsidR="0092484E" w:rsidRDefault="0092484E" w:rsidP="00DE2AF0">
            <w:pPr>
              <w:ind w:leftChars="0" w:left="0" w:firstLineChars="0" w:firstLine="0"/>
              <w:jc w:val="center"/>
              <w:rPr>
                <w:rFonts w:asciiTheme="majorHAnsi" w:hAnsiTheme="majorHAnsi" w:cstheme="majorHAnsi"/>
                <w:sz w:val="22"/>
                <w:szCs w:val="22"/>
              </w:rPr>
            </w:pPr>
          </w:p>
          <w:p w14:paraId="6EB08A5B" w14:textId="77777777" w:rsidR="0092484E" w:rsidRDefault="0092484E" w:rsidP="00DE2AF0">
            <w:pPr>
              <w:ind w:leftChars="0" w:left="0" w:firstLineChars="0" w:firstLine="0"/>
              <w:jc w:val="center"/>
              <w:rPr>
                <w:rFonts w:asciiTheme="majorHAnsi" w:hAnsiTheme="majorHAnsi" w:cstheme="majorHAnsi"/>
                <w:sz w:val="22"/>
                <w:szCs w:val="22"/>
              </w:rPr>
            </w:pPr>
          </w:p>
          <w:p w14:paraId="195DF094" w14:textId="77777777" w:rsidR="0092484E" w:rsidRDefault="0092484E" w:rsidP="00DE2AF0">
            <w:pPr>
              <w:ind w:leftChars="0" w:left="0" w:firstLineChars="0" w:firstLine="0"/>
              <w:jc w:val="center"/>
              <w:rPr>
                <w:rFonts w:asciiTheme="majorHAnsi" w:hAnsiTheme="majorHAnsi" w:cstheme="majorHAnsi"/>
                <w:sz w:val="22"/>
                <w:szCs w:val="22"/>
              </w:rPr>
            </w:pPr>
          </w:p>
          <w:p w14:paraId="7C244625" w14:textId="77777777" w:rsidR="0092484E" w:rsidRDefault="0092484E" w:rsidP="00DE2AF0">
            <w:pPr>
              <w:ind w:leftChars="0" w:left="0" w:firstLineChars="0" w:firstLine="0"/>
              <w:jc w:val="center"/>
              <w:rPr>
                <w:rFonts w:asciiTheme="majorHAnsi" w:hAnsiTheme="majorHAnsi" w:cstheme="majorHAnsi"/>
                <w:sz w:val="22"/>
                <w:szCs w:val="22"/>
              </w:rPr>
            </w:pPr>
          </w:p>
          <w:p w14:paraId="2AF7E8C3" w14:textId="77777777" w:rsidR="0092484E" w:rsidRDefault="0092484E" w:rsidP="00DE2AF0">
            <w:pPr>
              <w:ind w:leftChars="0" w:left="0" w:firstLineChars="0" w:firstLine="0"/>
              <w:jc w:val="center"/>
              <w:rPr>
                <w:rFonts w:asciiTheme="majorHAnsi" w:hAnsiTheme="majorHAnsi" w:cstheme="majorHAnsi"/>
                <w:sz w:val="22"/>
                <w:szCs w:val="22"/>
              </w:rPr>
            </w:pPr>
          </w:p>
          <w:p w14:paraId="11A1470D" w14:textId="77777777" w:rsidR="0092484E" w:rsidRDefault="0092484E" w:rsidP="00DE2AF0">
            <w:pPr>
              <w:ind w:leftChars="0" w:left="0" w:firstLineChars="0" w:firstLine="0"/>
              <w:jc w:val="center"/>
              <w:rPr>
                <w:rFonts w:asciiTheme="majorHAnsi" w:hAnsiTheme="majorHAnsi" w:cstheme="majorHAnsi"/>
                <w:sz w:val="22"/>
                <w:szCs w:val="22"/>
              </w:rPr>
            </w:pPr>
          </w:p>
          <w:p w14:paraId="007AC7A8" w14:textId="77777777" w:rsidR="0092484E" w:rsidRDefault="0092484E" w:rsidP="00DE2AF0">
            <w:pPr>
              <w:ind w:leftChars="0" w:left="0" w:firstLineChars="0" w:firstLine="0"/>
              <w:jc w:val="center"/>
              <w:rPr>
                <w:rFonts w:asciiTheme="majorHAnsi" w:hAnsiTheme="majorHAnsi" w:cstheme="majorHAnsi"/>
                <w:sz w:val="22"/>
                <w:szCs w:val="22"/>
              </w:rPr>
            </w:pPr>
          </w:p>
          <w:p w14:paraId="1614E4A9" w14:textId="77777777" w:rsidR="0092484E" w:rsidRDefault="0092484E" w:rsidP="00DE2AF0">
            <w:pPr>
              <w:ind w:leftChars="0" w:left="0" w:firstLineChars="0" w:firstLine="0"/>
              <w:jc w:val="center"/>
              <w:rPr>
                <w:rFonts w:asciiTheme="majorHAnsi" w:hAnsiTheme="majorHAnsi" w:cstheme="majorHAnsi"/>
                <w:sz w:val="22"/>
                <w:szCs w:val="22"/>
              </w:rPr>
            </w:pPr>
          </w:p>
          <w:p w14:paraId="7D2E55A3" w14:textId="77777777" w:rsidR="0092484E" w:rsidRDefault="0092484E" w:rsidP="00DE2AF0">
            <w:pPr>
              <w:ind w:leftChars="0" w:left="0" w:firstLineChars="0" w:firstLine="0"/>
              <w:jc w:val="center"/>
              <w:rPr>
                <w:rFonts w:asciiTheme="majorHAnsi" w:hAnsiTheme="majorHAnsi" w:cstheme="majorHAnsi"/>
                <w:sz w:val="22"/>
                <w:szCs w:val="22"/>
              </w:rPr>
            </w:pPr>
          </w:p>
          <w:p w14:paraId="6D86E1E4" w14:textId="77777777" w:rsidR="0092484E" w:rsidRDefault="0092484E" w:rsidP="00DE2AF0">
            <w:pPr>
              <w:ind w:leftChars="0" w:left="0" w:firstLineChars="0" w:firstLine="0"/>
              <w:jc w:val="center"/>
              <w:rPr>
                <w:rFonts w:asciiTheme="majorHAnsi" w:hAnsiTheme="majorHAnsi" w:cstheme="majorHAnsi"/>
                <w:sz w:val="22"/>
                <w:szCs w:val="22"/>
              </w:rPr>
            </w:pPr>
          </w:p>
          <w:p w14:paraId="7C0750EB" w14:textId="75984473" w:rsidR="006B0507" w:rsidRPr="00677968" w:rsidRDefault="0092484E" w:rsidP="0092484E">
            <w:pPr>
              <w:ind w:leftChars="0" w:left="0" w:firstLineChars="0" w:firstLine="0"/>
              <w:jc w:val="center"/>
              <w:rPr>
                <w:rFonts w:asciiTheme="majorHAnsi" w:eastAsia="Calibri" w:hAnsiTheme="majorHAnsi" w:cstheme="majorHAnsi"/>
                <w:sz w:val="22"/>
                <w:szCs w:val="22"/>
              </w:rPr>
            </w:pPr>
            <w:r>
              <w:rPr>
                <w:rFonts w:asciiTheme="majorHAnsi" w:hAnsiTheme="majorHAnsi" w:cstheme="majorHAnsi"/>
                <w:sz w:val="22"/>
                <w:szCs w:val="22"/>
              </w:rPr>
              <w:t>2</w:t>
            </w:r>
          </w:p>
        </w:tc>
        <w:tc>
          <w:tcPr>
            <w:tcW w:w="1014" w:type="dxa"/>
            <w:tcBorders>
              <w:top w:val="nil"/>
              <w:left w:val="nil"/>
              <w:bottom w:val="single" w:sz="4" w:space="0" w:color="000000"/>
              <w:right w:val="single" w:sz="4" w:space="0" w:color="000000"/>
            </w:tcBorders>
            <w:vAlign w:val="center"/>
          </w:tcPr>
          <w:p w14:paraId="3FB8469A" w14:textId="77777777" w:rsidR="006B0507" w:rsidRPr="00677968" w:rsidRDefault="006B0507" w:rsidP="00DE2AF0">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000000"/>
              <w:right w:val="single" w:sz="4" w:space="0" w:color="000000"/>
            </w:tcBorders>
            <w:vAlign w:val="center"/>
          </w:tcPr>
          <w:p w14:paraId="1B7945E8" w14:textId="77777777" w:rsidR="006B0507" w:rsidRPr="00677968" w:rsidRDefault="006B0507" w:rsidP="00DE2AF0">
            <w:pPr>
              <w:ind w:left="0" w:hanging="2"/>
              <w:jc w:val="center"/>
              <w:rPr>
                <w:rFonts w:asciiTheme="majorHAnsi" w:eastAsia="Calibri" w:hAnsiTheme="majorHAnsi" w:cstheme="majorHAnsi"/>
                <w:sz w:val="22"/>
                <w:szCs w:val="22"/>
              </w:rPr>
            </w:pPr>
          </w:p>
        </w:tc>
      </w:tr>
    </w:tbl>
    <w:p w14:paraId="20873A9E" w14:textId="77777777" w:rsidR="006B0507" w:rsidRDefault="006B0507" w:rsidP="006B0507">
      <w:pPr>
        <w:ind w:left="0" w:hanging="2"/>
        <w:jc w:val="both"/>
        <w:rPr>
          <w:rFonts w:asciiTheme="majorHAnsi" w:eastAsia="Calibri" w:hAnsiTheme="majorHAnsi" w:cstheme="majorHAnsi"/>
          <w:b/>
          <w:sz w:val="22"/>
          <w:szCs w:val="22"/>
        </w:rPr>
      </w:pPr>
    </w:p>
    <w:p w14:paraId="7EE09351" w14:textId="77777777" w:rsidR="006B0507" w:rsidRDefault="006B0507" w:rsidP="006B0507">
      <w:pPr>
        <w:ind w:left="0" w:hanging="2"/>
        <w:jc w:val="both"/>
        <w:rPr>
          <w:rFonts w:asciiTheme="majorHAnsi" w:eastAsia="Calibri" w:hAnsiTheme="majorHAnsi" w:cstheme="majorHAnsi"/>
          <w:b/>
          <w:sz w:val="22"/>
          <w:szCs w:val="22"/>
        </w:rPr>
      </w:pPr>
    </w:p>
    <w:p w14:paraId="741CE83C" w14:textId="77777777" w:rsidR="006B0507" w:rsidRPr="00677968" w:rsidRDefault="006B0507" w:rsidP="006B0507">
      <w:pPr>
        <w:ind w:left="0" w:hanging="2"/>
        <w:jc w:val="both"/>
        <w:rPr>
          <w:rFonts w:asciiTheme="majorHAnsi" w:eastAsia="Calibri" w:hAnsiTheme="majorHAnsi" w:cstheme="majorHAnsi"/>
          <w:b/>
          <w:sz w:val="22"/>
          <w:szCs w:val="22"/>
        </w:rPr>
      </w:pPr>
    </w:p>
    <w:p w14:paraId="14064926" w14:textId="77777777" w:rsidR="006B0507" w:rsidRPr="00677968" w:rsidRDefault="006B0507" w:rsidP="006B0507">
      <w:pPr>
        <w:ind w:left="0" w:hanging="2"/>
        <w:jc w:val="center"/>
        <w:rPr>
          <w:rFonts w:asciiTheme="majorHAnsi" w:eastAsia="Calibri" w:hAnsiTheme="majorHAnsi" w:cstheme="majorHAnsi"/>
          <w:b/>
          <w:bCs/>
          <w:sz w:val="22"/>
          <w:szCs w:val="22"/>
        </w:rPr>
      </w:pPr>
      <w:r w:rsidRPr="00677968">
        <w:rPr>
          <w:rFonts w:asciiTheme="majorHAnsi" w:eastAsia="Calibri" w:hAnsiTheme="majorHAnsi" w:cstheme="majorHAnsi"/>
          <w:b/>
          <w:bCs/>
          <w:sz w:val="22"/>
          <w:szCs w:val="22"/>
        </w:rPr>
        <w:t>Lote 3</w:t>
      </w:r>
    </w:p>
    <w:tbl>
      <w:tblPr>
        <w:tblW w:w="9532" w:type="dxa"/>
        <w:jc w:val="center"/>
        <w:tblLayout w:type="fixed"/>
        <w:tblLook w:val="0000" w:firstRow="0" w:lastRow="0" w:firstColumn="0" w:lastColumn="0" w:noHBand="0" w:noVBand="0"/>
      </w:tblPr>
      <w:tblGrid>
        <w:gridCol w:w="643"/>
        <w:gridCol w:w="1053"/>
        <w:gridCol w:w="2694"/>
        <w:gridCol w:w="2212"/>
        <w:gridCol w:w="1098"/>
        <w:gridCol w:w="1014"/>
        <w:gridCol w:w="818"/>
      </w:tblGrid>
      <w:tr w:rsidR="006B0507" w:rsidRPr="00677968" w14:paraId="65E138F9" w14:textId="77777777" w:rsidTr="00DE2AF0">
        <w:trPr>
          <w:trHeight w:val="17"/>
          <w:tblHeader/>
          <w:jc w:val="center"/>
        </w:trPr>
        <w:tc>
          <w:tcPr>
            <w:tcW w:w="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30FA50"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No. de ítem</w:t>
            </w:r>
          </w:p>
        </w:tc>
        <w:tc>
          <w:tcPr>
            <w:tcW w:w="1053" w:type="dxa"/>
            <w:tcBorders>
              <w:top w:val="single" w:sz="4" w:space="0" w:color="000000"/>
              <w:left w:val="nil"/>
              <w:bottom w:val="single" w:sz="4" w:space="0" w:color="000000"/>
              <w:right w:val="single" w:sz="4" w:space="0" w:color="000000"/>
            </w:tcBorders>
            <w:shd w:val="clear" w:color="auto" w:fill="D9D9D9"/>
            <w:vAlign w:val="center"/>
          </w:tcPr>
          <w:p w14:paraId="01FFC228"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Unidad</w:t>
            </w:r>
          </w:p>
        </w:tc>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C82C02"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Descripción</w:t>
            </w:r>
          </w:p>
        </w:tc>
        <w:tc>
          <w:tcPr>
            <w:tcW w:w="22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D1A66"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Especificaciones Técnicas</w:t>
            </w:r>
          </w:p>
        </w:tc>
        <w:tc>
          <w:tcPr>
            <w:tcW w:w="1098" w:type="dxa"/>
            <w:tcBorders>
              <w:top w:val="single" w:sz="4" w:space="0" w:color="000000"/>
              <w:left w:val="nil"/>
              <w:bottom w:val="single" w:sz="4" w:space="0" w:color="000000"/>
              <w:right w:val="single" w:sz="4" w:space="0" w:color="000000"/>
            </w:tcBorders>
            <w:shd w:val="clear" w:color="auto" w:fill="D9D9D9"/>
            <w:vAlign w:val="center"/>
          </w:tcPr>
          <w:p w14:paraId="7DFAAB72"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Cantidad</w:t>
            </w:r>
          </w:p>
        </w:tc>
        <w:tc>
          <w:tcPr>
            <w:tcW w:w="1014" w:type="dxa"/>
            <w:tcBorders>
              <w:top w:val="single" w:sz="4" w:space="0" w:color="000000"/>
              <w:left w:val="nil"/>
              <w:bottom w:val="single" w:sz="4" w:space="0" w:color="000000"/>
              <w:right w:val="single" w:sz="4" w:space="0" w:color="000000"/>
            </w:tcBorders>
            <w:shd w:val="clear" w:color="auto" w:fill="D9D9D9"/>
            <w:vAlign w:val="center"/>
          </w:tcPr>
          <w:p w14:paraId="14901FF0"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Unitario en COP$</w:t>
            </w:r>
          </w:p>
        </w:tc>
        <w:tc>
          <w:tcPr>
            <w:tcW w:w="818" w:type="dxa"/>
            <w:tcBorders>
              <w:top w:val="single" w:sz="4" w:space="0" w:color="000000"/>
              <w:left w:val="nil"/>
              <w:bottom w:val="single" w:sz="4" w:space="0" w:color="000000"/>
              <w:right w:val="single" w:sz="4" w:space="0" w:color="000000"/>
            </w:tcBorders>
            <w:shd w:val="clear" w:color="auto" w:fill="D9D9D9"/>
            <w:vAlign w:val="center"/>
          </w:tcPr>
          <w:p w14:paraId="782606D6"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Total en COP$</w:t>
            </w:r>
          </w:p>
        </w:tc>
      </w:tr>
      <w:tr w:rsidR="006B0507" w:rsidRPr="00677968" w14:paraId="26AB3ED1" w14:textId="77777777" w:rsidTr="00DE2AF0">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0C53A4C4"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1</w:t>
            </w:r>
          </w:p>
        </w:tc>
        <w:tc>
          <w:tcPr>
            <w:tcW w:w="1053" w:type="dxa"/>
            <w:tcBorders>
              <w:top w:val="single" w:sz="4" w:space="0" w:color="000000"/>
              <w:left w:val="nil"/>
              <w:bottom w:val="single" w:sz="4" w:space="0" w:color="000000"/>
              <w:right w:val="single" w:sz="4" w:space="0" w:color="000000"/>
            </w:tcBorders>
            <w:vAlign w:val="center"/>
          </w:tcPr>
          <w:p w14:paraId="7FE4B3CA" w14:textId="77777777" w:rsidR="006B0507" w:rsidRPr="00677968" w:rsidRDefault="006B0507" w:rsidP="00DE2AF0">
            <w:pPr>
              <w:ind w:left="0" w:hanging="2"/>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Unidad</w:t>
            </w:r>
          </w:p>
        </w:tc>
        <w:tc>
          <w:tcPr>
            <w:tcW w:w="2694" w:type="dxa"/>
            <w:tcBorders>
              <w:top w:val="single" w:sz="4" w:space="0" w:color="auto"/>
              <w:left w:val="single" w:sz="4" w:space="0" w:color="auto"/>
              <w:bottom w:val="single" w:sz="4" w:space="0" w:color="auto"/>
              <w:right w:val="single" w:sz="4" w:space="0" w:color="auto"/>
            </w:tcBorders>
            <w:vAlign w:val="center"/>
          </w:tcPr>
          <w:p w14:paraId="0E8C2C35" w14:textId="77777777" w:rsidR="0092484E" w:rsidRPr="0092484E" w:rsidRDefault="0092484E" w:rsidP="0092484E">
            <w:pPr>
              <w:ind w:left="0" w:hanging="2"/>
              <w:jc w:val="both"/>
              <w:rPr>
                <w:rFonts w:asciiTheme="majorHAnsi" w:hAnsiTheme="majorHAnsi" w:cstheme="majorHAnsi"/>
                <w:b/>
                <w:bCs/>
                <w:color w:val="000000"/>
                <w:sz w:val="22"/>
                <w:szCs w:val="22"/>
              </w:rPr>
            </w:pPr>
            <w:r w:rsidRPr="0092484E">
              <w:rPr>
                <w:rFonts w:asciiTheme="majorHAnsi" w:hAnsiTheme="majorHAnsi" w:cstheme="majorHAnsi"/>
                <w:b/>
                <w:bCs/>
                <w:color w:val="000000"/>
                <w:sz w:val="22"/>
                <w:szCs w:val="22"/>
              </w:rPr>
              <w:t>Hidrómetro digital automatizado</w:t>
            </w:r>
          </w:p>
          <w:p w14:paraId="3288A4DA" w14:textId="77777777" w:rsidR="0092484E" w:rsidRPr="0092484E" w:rsidRDefault="0092484E" w:rsidP="0092484E">
            <w:pPr>
              <w:ind w:left="0" w:hanging="2"/>
              <w:jc w:val="both"/>
              <w:rPr>
                <w:rFonts w:asciiTheme="majorHAnsi" w:hAnsiTheme="majorHAnsi" w:cstheme="majorHAnsi"/>
                <w:color w:val="000000"/>
                <w:sz w:val="22"/>
                <w:szCs w:val="22"/>
              </w:rPr>
            </w:pPr>
            <w:r w:rsidRPr="0092484E">
              <w:rPr>
                <w:rFonts w:asciiTheme="majorHAnsi" w:hAnsiTheme="majorHAnsi" w:cstheme="majorHAnsi"/>
                <w:color w:val="000000"/>
                <w:sz w:val="22"/>
                <w:szCs w:val="22"/>
              </w:rPr>
              <w:t>Rango de tamaño de partícula: 2–63 μm o mejor.</w:t>
            </w:r>
          </w:p>
          <w:p w14:paraId="3F29107E" w14:textId="77777777" w:rsidR="0092484E" w:rsidRPr="0092484E" w:rsidRDefault="0092484E" w:rsidP="0092484E">
            <w:pPr>
              <w:ind w:left="0" w:hanging="2"/>
              <w:jc w:val="both"/>
              <w:rPr>
                <w:rFonts w:asciiTheme="majorHAnsi" w:hAnsiTheme="majorHAnsi" w:cstheme="majorHAnsi"/>
                <w:color w:val="000000"/>
                <w:sz w:val="22"/>
                <w:szCs w:val="22"/>
              </w:rPr>
            </w:pPr>
            <w:r w:rsidRPr="0092484E">
              <w:rPr>
                <w:rFonts w:asciiTheme="majorHAnsi" w:hAnsiTheme="majorHAnsi" w:cstheme="majorHAnsi"/>
                <w:color w:val="000000"/>
                <w:sz w:val="22"/>
                <w:szCs w:val="22"/>
              </w:rPr>
              <w:t>Intervalo de medición: 10 s configurable.</w:t>
            </w:r>
          </w:p>
          <w:p w14:paraId="256A8EB0" w14:textId="77777777" w:rsidR="0092484E" w:rsidRPr="0092484E" w:rsidRDefault="0092484E" w:rsidP="0092484E">
            <w:pPr>
              <w:ind w:left="0" w:hanging="2"/>
              <w:jc w:val="both"/>
              <w:rPr>
                <w:rFonts w:asciiTheme="majorHAnsi" w:hAnsiTheme="majorHAnsi" w:cstheme="majorHAnsi"/>
                <w:color w:val="000000"/>
                <w:sz w:val="22"/>
                <w:szCs w:val="22"/>
              </w:rPr>
            </w:pPr>
            <w:r w:rsidRPr="0092484E">
              <w:rPr>
                <w:rFonts w:asciiTheme="majorHAnsi" w:hAnsiTheme="majorHAnsi" w:cstheme="majorHAnsi"/>
                <w:color w:val="000000"/>
                <w:sz w:val="22"/>
                <w:szCs w:val="22"/>
              </w:rPr>
              <w:t>Masa de muestra típica: 25–50 g por 1 L de suspensión.</w:t>
            </w:r>
          </w:p>
          <w:p w14:paraId="03F0B269" w14:textId="77777777" w:rsidR="0092484E" w:rsidRPr="0092484E" w:rsidRDefault="0092484E" w:rsidP="0092484E">
            <w:pPr>
              <w:ind w:left="0" w:hanging="2"/>
              <w:jc w:val="both"/>
              <w:rPr>
                <w:rFonts w:asciiTheme="majorHAnsi" w:hAnsiTheme="majorHAnsi" w:cstheme="majorHAnsi"/>
                <w:color w:val="000000"/>
                <w:sz w:val="22"/>
                <w:szCs w:val="22"/>
              </w:rPr>
            </w:pPr>
            <w:r w:rsidRPr="0092484E">
              <w:rPr>
                <w:rFonts w:asciiTheme="majorHAnsi" w:hAnsiTheme="majorHAnsi" w:cstheme="majorHAnsi"/>
                <w:color w:val="000000"/>
                <w:sz w:val="22"/>
                <w:szCs w:val="22"/>
              </w:rPr>
              <w:t>Volumen de suspensión: 1000 mL.</w:t>
            </w:r>
          </w:p>
          <w:p w14:paraId="43F909A9" w14:textId="77777777" w:rsidR="0092484E" w:rsidRPr="0092484E" w:rsidRDefault="0092484E" w:rsidP="0092484E">
            <w:pPr>
              <w:ind w:left="0" w:hanging="2"/>
              <w:jc w:val="both"/>
              <w:rPr>
                <w:rFonts w:asciiTheme="majorHAnsi" w:hAnsiTheme="majorHAnsi" w:cstheme="majorHAnsi"/>
                <w:color w:val="000000"/>
                <w:sz w:val="22"/>
                <w:szCs w:val="22"/>
              </w:rPr>
            </w:pPr>
            <w:r w:rsidRPr="0092484E">
              <w:rPr>
                <w:rFonts w:asciiTheme="majorHAnsi" w:hAnsiTheme="majorHAnsi" w:cstheme="majorHAnsi"/>
                <w:color w:val="000000"/>
                <w:sz w:val="22"/>
                <w:szCs w:val="22"/>
              </w:rPr>
              <w:t>Medición de presión: exactitud ≤</w:t>
            </w:r>
            <w:r w:rsidRPr="0092484E">
              <w:rPr>
                <w:rFonts w:ascii="Aptos Display" w:hAnsi="Aptos Display" w:cs="Aptos Display"/>
                <w:color w:val="000000"/>
                <w:sz w:val="22"/>
                <w:szCs w:val="22"/>
              </w:rPr>
              <w:t></w:t>
            </w:r>
            <w:r w:rsidRPr="0092484E">
              <w:rPr>
                <w:rFonts w:asciiTheme="majorHAnsi" w:hAnsiTheme="majorHAnsi" w:cstheme="majorHAnsi"/>
                <w:color w:val="000000"/>
                <w:sz w:val="22"/>
                <w:szCs w:val="22"/>
              </w:rPr>
              <w:t>}1,0 Pa; resoluci</w:t>
            </w:r>
            <w:r w:rsidRPr="0092484E">
              <w:rPr>
                <w:rFonts w:ascii="Aptos Display" w:hAnsi="Aptos Display" w:cs="Aptos Display"/>
                <w:color w:val="000000"/>
                <w:sz w:val="22"/>
                <w:szCs w:val="22"/>
              </w:rPr>
              <w:t>ó</w:t>
            </w:r>
            <w:r w:rsidRPr="0092484E">
              <w:rPr>
                <w:rFonts w:asciiTheme="majorHAnsi" w:hAnsiTheme="majorHAnsi" w:cstheme="majorHAnsi"/>
                <w:color w:val="000000"/>
                <w:sz w:val="22"/>
                <w:szCs w:val="22"/>
              </w:rPr>
              <w:t xml:space="preserve">n </w:t>
            </w:r>
            <w:r w:rsidRPr="0092484E">
              <w:rPr>
                <w:rFonts w:ascii="Aptos Display" w:hAnsi="Aptos Display" w:cs="Aptos Display"/>
                <w:color w:val="000000"/>
                <w:sz w:val="22"/>
                <w:szCs w:val="22"/>
              </w:rPr>
              <w:t>≤</w:t>
            </w:r>
            <w:r w:rsidRPr="0092484E">
              <w:rPr>
                <w:rFonts w:asciiTheme="majorHAnsi" w:hAnsiTheme="majorHAnsi" w:cstheme="majorHAnsi"/>
                <w:color w:val="000000"/>
                <w:sz w:val="22"/>
                <w:szCs w:val="22"/>
              </w:rPr>
              <w:t>0,1 Pa.</w:t>
            </w:r>
          </w:p>
          <w:p w14:paraId="43F475FB" w14:textId="77777777" w:rsidR="0092484E" w:rsidRPr="0092484E" w:rsidRDefault="0092484E" w:rsidP="0092484E">
            <w:pPr>
              <w:ind w:left="0" w:hanging="2"/>
              <w:jc w:val="both"/>
              <w:rPr>
                <w:rFonts w:asciiTheme="majorHAnsi" w:hAnsiTheme="majorHAnsi" w:cstheme="majorHAnsi"/>
                <w:color w:val="000000"/>
                <w:sz w:val="22"/>
                <w:szCs w:val="22"/>
              </w:rPr>
            </w:pPr>
            <w:r w:rsidRPr="0092484E">
              <w:rPr>
                <w:rFonts w:asciiTheme="majorHAnsi" w:hAnsiTheme="majorHAnsi" w:cstheme="majorHAnsi"/>
                <w:color w:val="000000"/>
                <w:sz w:val="22"/>
                <w:szCs w:val="22"/>
              </w:rPr>
              <w:t xml:space="preserve">Estabilidad térmica durante el ensayo: </w:t>
            </w:r>
            <w:r w:rsidRPr="0092484E">
              <w:rPr>
                <w:rFonts w:ascii="Aptos Display" w:hAnsi="Aptos Display" w:cs="Aptos Display"/>
                <w:color w:val="000000"/>
                <w:sz w:val="22"/>
                <w:szCs w:val="22"/>
              </w:rPr>
              <w:t></w:t>
            </w:r>
            <w:r w:rsidRPr="0092484E">
              <w:rPr>
                <w:rFonts w:asciiTheme="majorHAnsi" w:hAnsiTheme="majorHAnsi" w:cstheme="majorHAnsi"/>
                <w:color w:val="000000"/>
                <w:sz w:val="22"/>
                <w:szCs w:val="22"/>
              </w:rPr>
              <w:t xml:space="preserve">}1,5 </w:t>
            </w:r>
            <w:r w:rsidRPr="0092484E">
              <w:rPr>
                <w:rFonts w:ascii="Aptos Display" w:hAnsi="Aptos Display" w:cs="Aptos Display"/>
                <w:color w:val="000000"/>
                <w:sz w:val="22"/>
                <w:szCs w:val="22"/>
              </w:rPr>
              <w:t>°</w:t>
            </w:r>
            <w:r w:rsidRPr="0092484E">
              <w:rPr>
                <w:rFonts w:asciiTheme="majorHAnsi" w:hAnsiTheme="majorHAnsi" w:cstheme="majorHAnsi"/>
                <w:color w:val="000000"/>
                <w:sz w:val="22"/>
                <w:szCs w:val="22"/>
              </w:rPr>
              <w:t>C (m</w:t>
            </w:r>
            <w:r w:rsidRPr="0092484E">
              <w:rPr>
                <w:rFonts w:ascii="Aptos Display" w:hAnsi="Aptos Display" w:cs="Aptos Display"/>
                <w:color w:val="000000"/>
                <w:sz w:val="22"/>
                <w:szCs w:val="22"/>
              </w:rPr>
              <w:t>á</w:t>
            </w:r>
            <w:r w:rsidRPr="0092484E">
              <w:rPr>
                <w:rFonts w:asciiTheme="majorHAnsi" w:hAnsiTheme="majorHAnsi" w:cstheme="majorHAnsi"/>
                <w:color w:val="000000"/>
                <w:sz w:val="22"/>
                <w:szCs w:val="22"/>
              </w:rPr>
              <w:t>xima variaci</w:t>
            </w:r>
            <w:r w:rsidRPr="0092484E">
              <w:rPr>
                <w:rFonts w:ascii="Aptos Display" w:hAnsi="Aptos Display" w:cs="Aptos Display"/>
                <w:color w:val="000000"/>
                <w:sz w:val="22"/>
                <w:szCs w:val="22"/>
              </w:rPr>
              <w:t>ó</w:t>
            </w:r>
            <w:r w:rsidRPr="0092484E">
              <w:rPr>
                <w:rFonts w:asciiTheme="majorHAnsi" w:hAnsiTheme="majorHAnsi" w:cstheme="majorHAnsi"/>
                <w:color w:val="000000"/>
                <w:sz w:val="22"/>
                <w:szCs w:val="22"/>
              </w:rPr>
              <w:t>n tolerable) o mejor.</w:t>
            </w:r>
          </w:p>
          <w:p w14:paraId="145EF301" w14:textId="77777777" w:rsidR="0092484E" w:rsidRPr="0092484E" w:rsidRDefault="0092484E" w:rsidP="0092484E">
            <w:pPr>
              <w:ind w:left="0" w:hanging="2"/>
              <w:jc w:val="both"/>
              <w:rPr>
                <w:rFonts w:asciiTheme="majorHAnsi" w:hAnsiTheme="majorHAnsi" w:cstheme="majorHAnsi"/>
                <w:color w:val="000000"/>
                <w:sz w:val="22"/>
                <w:szCs w:val="22"/>
              </w:rPr>
            </w:pPr>
            <w:r w:rsidRPr="0092484E">
              <w:rPr>
                <w:rFonts w:asciiTheme="majorHAnsi" w:hAnsiTheme="majorHAnsi" w:cstheme="majorHAnsi"/>
                <w:color w:val="000000"/>
                <w:sz w:val="22"/>
                <w:szCs w:val="22"/>
              </w:rPr>
              <w:t>Alimentación: USB</w:t>
            </w:r>
          </w:p>
          <w:p w14:paraId="199D3885" w14:textId="77777777" w:rsidR="0092484E" w:rsidRPr="0092484E" w:rsidRDefault="0092484E" w:rsidP="0092484E">
            <w:pPr>
              <w:ind w:left="0" w:hanging="2"/>
              <w:jc w:val="both"/>
              <w:rPr>
                <w:rFonts w:asciiTheme="majorHAnsi" w:hAnsiTheme="majorHAnsi" w:cstheme="majorHAnsi"/>
                <w:color w:val="000000"/>
                <w:sz w:val="22"/>
                <w:szCs w:val="22"/>
              </w:rPr>
            </w:pPr>
            <w:r w:rsidRPr="0092484E">
              <w:rPr>
                <w:rFonts w:asciiTheme="majorHAnsi" w:hAnsiTheme="majorHAnsi" w:cstheme="majorHAnsi"/>
                <w:color w:val="000000"/>
                <w:sz w:val="22"/>
                <w:szCs w:val="22"/>
              </w:rPr>
              <w:t>Operación ambiental: 15–35 °C (típico 20 °C); HR 20–90 % no condensante.</w:t>
            </w:r>
          </w:p>
          <w:p w14:paraId="3F8E00E9" w14:textId="77777777" w:rsidR="0092484E" w:rsidRPr="0092484E" w:rsidRDefault="0092484E" w:rsidP="0092484E">
            <w:pPr>
              <w:ind w:left="0" w:hanging="2"/>
              <w:jc w:val="both"/>
              <w:rPr>
                <w:rFonts w:asciiTheme="majorHAnsi" w:hAnsiTheme="majorHAnsi" w:cstheme="majorHAnsi"/>
                <w:color w:val="000000"/>
                <w:sz w:val="22"/>
                <w:szCs w:val="22"/>
              </w:rPr>
            </w:pPr>
            <w:r w:rsidRPr="0092484E">
              <w:rPr>
                <w:rFonts w:asciiTheme="majorHAnsi" w:hAnsiTheme="majorHAnsi" w:cstheme="majorHAnsi"/>
                <w:color w:val="000000"/>
                <w:sz w:val="22"/>
                <w:szCs w:val="22"/>
              </w:rPr>
              <w:t>Generación de reportes con fracciones (arcilla, limo, arena), curvas acumuladas y parámetros estadísticos.</w:t>
            </w:r>
          </w:p>
          <w:p w14:paraId="45C5C622" w14:textId="77777777" w:rsidR="0092484E" w:rsidRPr="0092484E" w:rsidRDefault="0092484E" w:rsidP="0092484E">
            <w:pPr>
              <w:ind w:left="0" w:hanging="2"/>
              <w:jc w:val="both"/>
              <w:rPr>
                <w:rFonts w:asciiTheme="majorHAnsi" w:hAnsiTheme="majorHAnsi" w:cstheme="majorHAnsi"/>
                <w:color w:val="000000"/>
                <w:sz w:val="22"/>
                <w:szCs w:val="22"/>
              </w:rPr>
            </w:pPr>
            <w:r w:rsidRPr="0092484E">
              <w:rPr>
                <w:rFonts w:asciiTheme="majorHAnsi" w:hAnsiTheme="majorHAnsi" w:cstheme="majorHAnsi"/>
                <w:color w:val="000000"/>
                <w:sz w:val="22"/>
                <w:szCs w:val="22"/>
              </w:rPr>
              <w:t>Alineado con ISO 11277 / ASTM D7928 o equivalentes (sedimentación + tamizado).</w:t>
            </w:r>
          </w:p>
          <w:p w14:paraId="4F4ED7DF" w14:textId="77777777" w:rsidR="0092484E" w:rsidRPr="0092484E" w:rsidRDefault="0092484E" w:rsidP="0092484E">
            <w:pPr>
              <w:ind w:left="0" w:hanging="2"/>
              <w:jc w:val="both"/>
              <w:rPr>
                <w:rFonts w:asciiTheme="majorHAnsi" w:hAnsiTheme="majorHAnsi" w:cstheme="majorHAnsi"/>
                <w:color w:val="000000"/>
                <w:sz w:val="22"/>
                <w:szCs w:val="22"/>
              </w:rPr>
            </w:pPr>
            <w:r w:rsidRPr="0092484E">
              <w:rPr>
                <w:rFonts w:asciiTheme="majorHAnsi" w:hAnsiTheme="majorHAnsi" w:cstheme="majorHAnsi"/>
                <w:color w:val="000000"/>
                <w:sz w:val="22"/>
                <w:szCs w:val="22"/>
              </w:rPr>
              <w:t xml:space="preserve">Accesorios y suministros </w:t>
            </w:r>
            <w:r w:rsidRPr="0092484E">
              <w:rPr>
                <w:rFonts w:asciiTheme="majorHAnsi" w:hAnsiTheme="majorHAnsi" w:cstheme="majorHAnsi"/>
                <w:color w:val="000000"/>
                <w:sz w:val="22"/>
                <w:szCs w:val="22"/>
              </w:rPr>
              <w:lastRenderedPageBreak/>
              <w:t>incluidos</w:t>
            </w:r>
          </w:p>
          <w:p w14:paraId="1EBC77D5" w14:textId="77777777" w:rsidR="0092484E" w:rsidRPr="0092484E" w:rsidRDefault="0092484E" w:rsidP="0092484E">
            <w:pPr>
              <w:ind w:left="0" w:hanging="2"/>
              <w:jc w:val="both"/>
              <w:rPr>
                <w:rFonts w:asciiTheme="majorHAnsi" w:hAnsiTheme="majorHAnsi" w:cstheme="majorHAnsi"/>
                <w:color w:val="000000"/>
                <w:sz w:val="22"/>
                <w:szCs w:val="22"/>
              </w:rPr>
            </w:pPr>
            <w:r w:rsidRPr="0092484E">
              <w:rPr>
                <w:rFonts w:asciiTheme="majorHAnsi" w:hAnsiTheme="majorHAnsi" w:cstheme="majorHAnsi"/>
                <w:color w:val="000000"/>
                <w:sz w:val="22"/>
                <w:szCs w:val="22"/>
              </w:rPr>
              <w:t>Cilindro de 1 L (sedimentación), tapón/cobertura, Cilindro de soporte (standby), kit de limpieza; wet sieve system de mínimo 4 tamices; set inicial de dispersante (valorable).</w:t>
            </w:r>
          </w:p>
          <w:p w14:paraId="27EA18EC" w14:textId="3F4DD67C" w:rsidR="006B0507" w:rsidRPr="00677968" w:rsidRDefault="0092484E" w:rsidP="0092484E">
            <w:pPr>
              <w:ind w:left="0" w:hanging="2"/>
              <w:jc w:val="both"/>
              <w:rPr>
                <w:rFonts w:asciiTheme="majorHAnsi" w:eastAsia="Calibri" w:hAnsiTheme="majorHAnsi" w:cstheme="majorHAnsi"/>
                <w:color w:val="000000"/>
                <w:sz w:val="22"/>
                <w:szCs w:val="22"/>
              </w:rPr>
            </w:pPr>
            <w:r w:rsidRPr="0092484E">
              <w:rPr>
                <w:rFonts w:asciiTheme="majorHAnsi" w:hAnsiTheme="majorHAnsi" w:cstheme="majorHAnsi"/>
                <w:color w:val="000000"/>
                <w:sz w:val="22"/>
                <w:szCs w:val="22"/>
              </w:rPr>
              <w:t>Maleta o embalaje de protección para transporte (valorable).</w:t>
            </w:r>
          </w:p>
        </w:tc>
        <w:tc>
          <w:tcPr>
            <w:tcW w:w="2212" w:type="dxa"/>
            <w:tcBorders>
              <w:top w:val="single" w:sz="4" w:space="0" w:color="000000"/>
              <w:left w:val="single" w:sz="4" w:space="0" w:color="000000"/>
              <w:bottom w:val="single" w:sz="4" w:space="0" w:color="000000"/>
              <w:right w:val="single" w:sz="4" w:space="0" w:color="000000"/>
            </w:tcBorders>
            <w:vAlign w:val="center"/>
          </w:tcPr>
          <w:p w14:paraId="5ACAE1C9" w14:textId="77777777" w:rsidR="006B0507" w:rsidRPr="00677968" w:rsidRDefault="006B0507" w:rsidP="00DE2AF0">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72CFABBE" w14:textId="77777777" w:rsidR="0092484E" w:rsidRDefault="0092484E" w:rsidP="00DE2AF0">
            <w:pPr>
              <w:ind w:left="0" w:hanging="2"/>
              <w:jc w:val="center"/>
              <w:rPr>
                <w:rFonts w:asciiTheme="majorHAnsi" w:hAnsiTheme="majorHAnsi" w:cstheme="majorHAnsi"/>
                <w:sz w:val="22"/>
                <w:szCs w:val="22"/>
              </w:rPr>
            </w:pPr>
          </w:p>
          <w:p w14:paraId="28246BF6" w14:textId="77777777" w:rsidR="0092484E" w:rsidRDefault="0092484E" w:rsidP="00DE2AF0">
            <w:pPr>
              <w:ind w:left="0" w:hanging="2"/>
              <w:jc w:val="center"/>
              <w:rPr>
                <w:rFonts w:asciiTheme="majorHAnsi" w:hAnsiTheme="majorHAnsi" w:cstheme="majorHAnsi"/>
                <w:sz w:val="22"/>
                <w:szCs w:val="22"/>
              </w:rPr>
            </w:pPr>
          </w:p>
          <w:p w14:paraId="19D6E193" w14:textId="77777777" w:rsidR="0092484E" w:rsidRDefault="0092484E" w:rsidP="00DE2AF0">
            <w:pPr>
              <w:ind w:left="0" w:hanging="2"/>
              <w:jc w:val="center"/>
              <w:rPr>
                <w:rFonts w:asciiTheme="majorHAnsi" w:hAnsiTheme="majorHAnsi" w:cstheme="majorHAnsi"/>
                <w:sz w:val="22"/>
                <w:szCs w:val="22"/>
              </w:rPr>
            </w:pPr>
          </w:p>
          <w:p w14:paraId="6E41019E" w14:textId="77777777" w:rsidR="0092484E" w:rsidRDefault="0092484E" w:rsidP="00DE2AF0">
            <w:pPr>
              <w:ind w:left="0" w:hanging="2"/>
              <w:jc w:val="center"/>
              <w:rPr>
                <w:rFonts w:asciiTheme="majorHAnsi" w:hAnsiTheme="majorHAnsi" w:cstheme="majorHAnsi"/>
                <w:sz w:val="22"/>
                <w:szCs w:val="22"/>
              </w:rPr>
            </w:pPr>
          </w:p>
          <w:p w14:paraId="3772A1B1" w14:textId="77777777" w:rsidR="0092484E" w:rsidRDefault="0092484E" w:rsidP="00DE2AF0">
            <w:pPr>
              <w:ind w:left="0" w:hanging="2"/>
              <w:jc w:val="center"/>
              <w:rPr>
                <w:rFonts w:asciiTheme="majorHAnsi" w:hAnsiTheme="majorHAnsi" w:cstheme="majorHAnsi"/>
                <w:sz w:val="22"/>
                <w:szCs w:val="22"/>
              </w:rPr>
            </w:pPr>
          </w:p>
          <w:p w14:paraId="157B4DEC" w14:textId="77777777" w:rsidR="0092484E" w:rsidRDefault="0092484E" w:rsidP="00DE2AF0">
            <w:pPr>
              <w:ind w:left="0" w:hanging="2"/>
              <w:jc w:val="center"/>
              <w:rPr>
                <w:rFonts w:asciiTheme="majorHAnsi" w:hAnsiTheme="majorHAnsi" w:cstheme="majorHAnsi"/>
                <w:sz w:val="22"/>
                <w:szCs w:val="22"/>
              </w:rPr>
            </w:pPr>
          </w:p>
          <w:p w14:paraId="78AAD4EA" w14:textId="77777777" w:rsidR="0092484E" w:rsidRDefault="0092484E" w:rsidP="00DE2AF0">
            <w:pPr>
              <w:ind w:left="0" w:hanging="2"/>
              <w:jc w:val="center"/>
              <w:rPr>
                <w:rFonts w:asciiTheme="majorHAnsi" w:hAnsiTheme="majorHAnsi" w:cstheme="majorHAnsi"/>
                <w:sz w:val="22"/>
                <w:szCs w:val="22"/>
              </w:rPr>
            </w:pPr>
          </w:p>
          <w:p w14:paraId="2348D1E3" w14:textId="77777777" w:rsidR="0092484E" w:rsidRDefault="0092484E" w:rsidP="00DE2AF0">
            <w:pPr>
              <w:ind w:left="0" w:hanging="2"/>
              <w:jc w:val="center"/>
              <w:rPr>
                <w:rFonts w:asciiTheme="majorHAnsi" w:hAnsiTheme="majorHAnsi" w:cstheme="majorHAnsi"/>
                <w:sz w:val="22"/>
                <w:szCs w:val="22"/>
              </w:rPr>
            </w:pPr>
          </w:p>
          <w:p w14:paraId="50761B97" w14:textId="77777777" w:rsidR="0092484E" w:rsidRDefault="0092484E" w:rsidP="00DE2AF0">
            <w:pPr>
              <w:ind w:left="0" w:hanging="2"/>
              <w:jc w:val="center"/>
              <w:rPr>
                <w:rFonts w:asciiTheme="majorHAnsi" w:hAnsiTheme="majorHAnsi" w:cstheme="majorHAnsi"/>
                <w:sz w:val="22"/>
                <w:szCs w:val="22"/>
              </w:rPr>
            </w:pPr>
          </w:p>
          <w:p w14:paraId="428E3845" w14:textId="77777777" w:rsidR="0092484E" w:rsidRDefault="0092484E" w:rsidP="00DE2AF0">
            <w:pPr>
              <w:ind w:left="0" w:hanging="2"/>
              <w:jc w:val="center"/>
              <w:rPr>
                <w:rFonts w:asciiTheme="majorHAnsi" w:hAnsiTheme="majorHAnsi" w:cstheme="majorHAnsi"/>
                <w:sz w:val="22"/>
                <w:szCs w:val="22"/>
              </w:rPr>
            </w:pPr>
          </w:p>
          <w:p w14:paraId="6DFD0F98" w14:textId="77777777" w:rsidR="0092484E" w:rsidRDefault="0092484E" w:rsidP="00DE2AF0">
            <w:pPr>
              <w:ind w:left="0" w:hanging="2"/>
              <w:jc w:val="center"/>
              <w:rPr>
                <w:rFonts w:asciiTheme="majorHAnsi" w:hAnsiTheme="majorHAnsi" w:cstheme="majorHAnsi"/>
                <w:sz w:val="22"/>
                <w:szCs w:val="22"/>
              </w:rPr>
            </w:pPr>
          </w:p>
          <w:p w14:paraId="27C8EEA4" w14:textId="77777777" w:rsidR="0092484E" w:rsidRDefault="0092484E" w:rsidP="00DE2AF0">
            <w:pPr>
              <w:ind w:left="0" w:hanging="2"/>
              <w:jc w:val="center"/>
              <w:rPr>
                <w:rFonts w:asciiTheme="majorHAnsi" w:hAnsiTheme="majorHAnsi" w:cstheme="majorHAnsi"/>
                <w:sz w:val="22"/>
                <w:szCs w:val="22"/>
              </w:rPr>
            </w:pPr>
          </w:p>
          <w:p w14:paraId="29291667" w14:textId="77777777" w:rsidR="0092484E" w:rsidRDefault="0092484E" w:rsidP="00DE2AF0">
            <w:pPr>
              <w:ind w:left="0" w:hanging="2"/>
              <w:jc w:val="center"/>
              <w:rPr>
                <w:rFonts w:asciiTheme="majorHAnsi" w:hAnsiTheme="majorHAnsi" w:cstheme="majorHAnsi"/>
                <w:sz w:val="22"/>
                <w:szCs w:val="22"/>
              </w:rPr>
            </w:pPr>
          </w:p>
          <w:p w14:paraId="3444C3DF" w14:textId="6277CE10" w:rsidR="006B0507" w:rsidRPr="00677968" w:rsidRDefault="0092484E" w:rsidP="00DE2AF0">
            <w:pPr>
              <w:ind w:left="0" w:hanging="2"/>
              <w:jc w:val="center"/>
              <w:rPr>
                <w:rFonts w:asciiTheme="majorHAnsi" w:eastAsia="Calibri" w:hAnsiTheme="majorHAnsi" w:cstheme="majorHAnsi"/>
                <w:sz w:val="22"/>
                <w:szCs w:val="22"/>
              </w:rPr>
            </w:pPr>
            <w:r>
              <w:rPr>
                <w:rFonts w:asciiTheme="majorHAnsi" w:hAnsiTheme="majorHAnsi" w:cstheme="majorHAnsi"/>
                <w:sz w:val="22"/>
                <w:szCs w:val="22"/>
              </w:rPr>
              <w:t>1</w:t>
            </w:r>
          </w:p>
        </w:tc>
        <w:tc>
          <w:tcPr>
            <w:tcW w:w="1014" w:type="dxa"/>
            <w:tcBorders>
              <w:top w:val="nil"/>
              <w:left w:val="nil"/>
              <w:bottom w:val="single" w:sz="4" w:space="0" w:color="000000"/>
              <w:right w:val="single" w:sz="4" w:space="0" w:color="000000"/>
            </w:tcBorders>
            <w:vAlign w:val="center"/>
          </w:tcPr>
          <w:p w14:paraId="4D1B1269" w14:textId="77777777" w:rsidR="006B0507" w:rsidRPr="00677968" w:rsidRDefault="006B0507" w:rsidP="00DE2AF0">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000000"/>
              <w:right w:val="single" w:sz="4" w:space="0" w:color="000000"/>
            </w:tcBorders>
            <w:vAlign w:val="center"/>
          </w:tcPr>
          <w:p w14:paraId="229E1C2A" w14:textId="77777777" w:rsidR="006B0507" w:rsidRPr="00677968" w:rsidRDefault="006B0507" w:rsidP="00DE2AF0">
            <w:pPr>
              <w:ind w:left="0" w:hanging="2"/>
              <w:jc w:val="center"/>
              <w:rPr>
                <w:rFonts w:asciiTheme="majorHAnsi" w:eastAsia="Calibri" w:hAnsiTheme="majorHAnsi" w:cstheme="majorHAnsi"/>
                <w:sz w:val="22"/>
                <w:szCs w:val="22"/>
              </w:rPr>
            </w:pPr>
          </w:p>
        </w:tc>
      </w:tr>
    </w:tbl>
    <w:p w14:paraId="12959D50" w14:textId="77777777" w:rsidR="006B0507" w:rsidRPr="00677968" w:rsidRDefault="006B0507" w:rsidP="006B0507">
      <w:pPr>
        <w:ind w:left="0" w:hanging="2"/>
        <w:jc w:val="both"/>
        <w:rPr>
          <w:rFonts w:asciiTheme="majorHAnsi" w:eastAsia="Calibri" w:hAnsiTheme="majorHAnsi" w:cstheme="majorHAnsi"/>
          <w:b/>
          <w:sz w:val="22"/>
          <w:szCs w:val="22"/>
        </w:rPr>
      </w:pPr>
    </w:p>
    <w:p w14:paraId="10C0C12F" w14:textId="77777777" w:rsidR="006B0507" w:rsidRPr="00677968" w:rsidRDefault="006B0507" w:rsidP="006B0507">
      <w:pPr>
        <w:ind w:left="0" w:hanging="2"/>
        <w:jc w:val="center"/>
        <w:rPr>
          <w:rFonts w:asciiTheme="majorHAnsi" w:eastAsia="Calibri" w:hAnsiTheme="majorHAnsi" w:cstheme="majorHAnsi"/>
          <w:b/>
          <w:bCs/>
          <w:sz w:val="22"/>
          <w:szCs w:val="22"/>
        </w:rPr>
      </w:pPr>
      <w:r w:rsidRPr="00677968">
        <w:rPr>
          <w:rFonts w:asciiTheme="majorHAnsi" w:eastAsia="Calibri" w:hAnsiTheme="majorHAnsi" w:cstheme="majorHAnsi"/>
          <w:b/>
          <w:bCs/>
          <w:sz w:val="22"/>
          <w:szCs w:val="22"/>
        </w:rPr>
        <w:t>Lote 4</w:t>
      </w:r>
    </w:p>
    <w:tbl>
      <w:tblPr>
        <w:tblW w:w="9532" w:type="dxa"/>
        <w:jc w:val="center"/>
        <w:tblLayout w:type="fixed"/>
        <w:tblLook w:val="0000" w:firstRow="0" w:lastRow="0" w:firstColumn="0" w:lastColumn="0" w:noHBand="0" w:noVBand="0"/>
      </w:tblPr>
      <w:tblGrid>
        <w:gridCol w:w="643"/>
        <w:gridCol w:w="1053"/>
        <w:gridCol w:w="2694"/>
        <w:gridCol w:w="2212"/>
        <w:gridCol w:w="1098"/>
        <w:gridCol w:w="1014"/>
        <w:gridCol w:w="818"/>
      </w:tblGrid>
      <w:tr w:rsidR="006B0507" w:rsidRPr="00677968" w14:paraId="0315C3CC" w14:textId="77777777" w:rsidTr="00DE2AF0">
        <w:trPr>
          <w:trHeight w:val="17"/>
          <w:tblHeader/>
          <w:jc w:val="center"/>
        </w:trPr>
        <w:tc>
          <w:tcPr>
            <w:tcW w:w="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BFE79D"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No. de ítem</w:t>
            </w:r>
          </w:p>
        </w:tc>
        <w:tc>
          <w:tcPr>
            <w:tcW w:w="1053" w:type="dxa"/>
            <w:tcBorders>
              <w:top w:val="single" w:sz="4" w:space="0" w:color="000000"/>
              <w:left w:val="nil"/>
              <w:bottom w:val="single" w:sz="4" w:space="0" w:color="000000"/>
              <w:right w:val="single" w:sz="4" w:space="0" w:color="000000"/>
            </w:tcBorders>
            <w:shd w:val="clear" w:color="auto" w:fill="D9D9D9"/>
            <w:vAlign w:val="center"/>
          </w:tcPr>
          <w:p w14:paraId="56254D12"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Unidad</w:t>
            </w:r>
          </w:p>
        </w:tc>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A9FFA"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Descripción</w:t>
            </w:r>
          </w:p>
        </w:tc>
        <w:tc>
          <w:tcPr>
            <w:tcW w:w="22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81DFF"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Especificaciones Técnicas</w:t>
            </w:r>
          </w:p>
        </w:tc>
        <w:tc>
          <w:tcPr>
            <w:tcW w:w="1098" w:type="dxa"/>
            <w:tcBorders>
              <w:top w:val="single" w:sz="4" w:space="0" w:color="000000"/>
              <w:left w:val="nil"/>
              <w:bottom w:val="single" w:sz="4" w:space="0" w:color="000000"/>
              <w:right w:val="single" w:sz="4" w:space="0" w:color="000000"/>
            </w:tcBorders>
            <w:shd w:val="clear" w:color="auto" w:fill="D9D9D9"/>
            <w:vAlign w:val="center"/>
          </w:tcPr>
          <w:p w14:paraId="6693BA4B"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Cantidad</w:t>
            </w:r>
          </w:p>
        </w:tc>
        <w:tc>
          <w:tcPr>
            <w:tcW w:w="1014" w:type="dxa"/>
            <w:tcBorders>
              <w:top w:val="single" w:sz="4" w:space="0" w:color="000000"/>
              <w:left w:val="nil"/>
              <w:bottom w:val="single" w:sz="4" w:space="0" w:color="000000"/>
              <w:right w:val="single" w:sz="4" w:space="0" w:color="000000"/>
            </w:tcBorders>
            <w:shd w:val="clear" w:color="auto" w:fill="D9D9D9"/>
            <w:vAlign w:val="center"/>
          </w:tcPr>
          <w:p w14:paraId="4C5EB659"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Unitario en COP$</w:t>
            </w:r>
          </w:p>
        </w:tc>
        <w:tc>
          <w:tcPr>
            <w:tcW w:w="818" w:type="dxa"/>
            <w:tcBorders>
              <w:top w:val="single" w:sz="4" w:space="0" w:color="000000"/>
              <w:left w:val="nil"/>
              <w:bottom w:val="single" w:sz="4" w:space="0" w:color="000000"/>
              <w:right w:val="single" w:sz="4" w:space="0" w:color="000000"/>
            </w:tcBorders>
            <w:shd w:val="clear" w:color="auto" w:fill="D9D9D9"/>
            <w:vAlign w:val="center"/>
          </w:tcPr>
          <w:p w14:paraId="68864BC5"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Total en COP$</w:t>
            </w:r>
          </w:p>
        </w:tc>
      </w:tr>
      <w:tr w:rsidR="006B0507" w:rsidRPr="00677968" w14:paraId="64E80343" w14:textId="77777777" w:rsidTr="00DE2AF0">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75052CEB" w14:textId="77777777" w:rsidR="006B0507" w:rsidRPr="00677968" w:rsidRDefault="006B0507" w:rsidP="00DE2AF0">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1</w:t>
            </w:r>
          </w:p>
        </w:tc>
        <w:tc>
          <w:tcPr>
            <w:tcW w:w="1053" w:type="dxa"/>
            <w:tcBorders>
              <w:top w:val="single" w:sz="4" w:space="0" w:color="000000"/>
              <w:left w:val="nil"/>
              <w:bottom w:val="single" w:sz="4" w:space="0" w:color="000000"/>
              <w:right w:val="single" w:sz="4" w:space="0" w:color="000000"/>
            </w:tcBorders>
            <w:vAlign w:val="center"/>
          </w:tcPr>
          <w:p w14:paraId="62991BF9" w14:textId="77777777" w:rsidR="006B0507" w:rsidRPr="00677968" w:rsidRDefault="006B0507" w:rsidP="00DE2AF0">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Unidad</w:t>
            </w:r>
          </w:p>
        </w:tc>
        <w:tc>
          <w:tcPr>
            <w:tcW w:w="2694" w:type="dxa"/>
            <w:tcBorders>
              <w:top w:val="single" w:sz="4" w:space="0" w:color="auto"/>
              <w:left w:val="single" w:sz="4" w:space="0" w:color="auto"/>
              <w:bottom w:val="single" w:sz="4" w:space="0" w:color="auto"/>
              <w:right w:val="single" w:sz="4" w:space="0" w:color="auto"/>
            </w:tcBorders>
            <w:vAlign w:val="center"/>
          </w:tcPr>
          <w:p w14:paraId="31CC973A" w14:textId="77777777" w:rsidR="00693D8F" w:rsidRPr="00693D8F" w:rsidRDefault="00693D8F" w:rsidP="00693D8F">
            <w:pPr>
              <w:spacing w:line="240" w:lineRule="atLeast"/>
              <w:ind w:left="0" w:hanging="2"/>
              <w:jc w:val="both"/>
              <w:rPr>
                <w:rFonts w:asciiTheme="majorHAnsi" w:hAnsiTheme="majorHAnsi" w:cstheme="majorHAnsi"/>
                <w:b/>
                <w:bCs/>
                <w:sz w:val="22"/>
                <w:szCs w:val="22"/>
              </w:rPr>
            </w:pPr>
            <w:r w:rsidRPr="00693D8F">
              <w:rPr>
                <w:rFonts w:asciiTheme="majorHAnsi" w:hAnsiTheme="majorHAnsi" w:cstheme="majorHAnsi"/>
                <w:b/>
                <w:bCs/>
                <w:sz w:val="22"/>
                <w:szCs w:val="22"/>
              </w:rPr>
              <w:t>Instrumentos para Sistema Eddy Covariance “Closed-Path”</w:t>
            </w:r>
          </w:p>
          <w:p w14:paraId="10D26949" w14:textId="77777777" w:rsidR="00693D8F" w:rsidRPr="00693D8F" w:rsidRDefault="00693D8F" w:rsidP="00693D8F">
            <w:pPr>
              <w:spacing w:line="240" w:lineRule="atLeast"/>
              <w:ind w:left="0" w:hanging="2"/>
              <w:jc w:val="both"/>
              <w:rPr>
                <w:rFonts w:asciiTheme="majorHAnsi" w:hAnsiTheme="majorHAnsi" w:cstheme="majorHAnsi"/>
                <w:sz w:val="22"/>
                <w:szCs w:val="22"/>
              </w:rPr>
            </w:pPr>
            <w:r w:rsidRPr="00693D8F">
              <w:rPr>
                <w:rFonts w:asciiTheme="majorHAnsi" w:hAnsiTheme="majorHAnsi" w:cstheme="majorHAnsi"/>
                <w:sz w:val="22"/>
                <w:szCs w:val="22"/>
              </w:rPr>
              <w:t>Criterio de compatibilidad: Los instrumentos deben ser originales Campbell Scientific o 100 % compatibles eléctrica y funcionalmente con sistemas Closed-Path existentes de la Entidad (dataloggers Campbell, protocolos SDI-12/Modbus/analógico, alimentación y conectores). Deben incluir cables de longitud adecuada (≥30 m según sensor), herrajes y accesorios de montaje.</w:t>
            </w:r>
          </w:p>
          <w:p w14:paraId="731DD5E1" w14:textId="77777777" w:rsidR="00693D8F" w:rsidRPr="00693D8F" w:rsidRDefault="00693D8F" w:rsidP="00693D8F">
            <w:pPr>
              <w:spacing w:line="240" w:lineRule="atLeast"/>
              <w:ind w:left="0" w:hanging="2"/>
              <w:jc w:val="both"/>
              <w:rPr>
                <w:rFonts w:asciiTheme="majorHAnsi" w:hAnsiTheme="majorHAnsi" w:cstheme="majorHAnsi"/>
                <w:b/>
                <w:bCs/>
                <w:sz w:val="22"/>
                <w:szCs w:val="22"/>
              </w:rPr>
            </w:pPr>
            <w:r w:rsidRPr="00693D8F">
              <w:rPr>
                <w:rFonts w:asciiTheme="majorHAnsi" w:hAnsiTheme="majorHAnsi" w:cstheme="majorHAnsi"/>
                <w:b/>
                <w:bCs/>
                <w:sz w:val="22"/>
                <w:szCs w:val="22"/>
              </w:rPr>
              <w:t>Pluviómetro tipo balancín TE525-L (1 unid.)</w:t>
            </w:r>
          </w:p>
          <w:p w14:paraId="5AA31A10" w14:textId="77777777" w:rsidR="00693D8F" w:rsidRPr="00693D8F" w:rsidRDefault="00693D8F" w:rsidP="00693D8F">
            <w:pPr>
              <w:spacing w:line="240" w:lineRule="atLeast"/>
              <w:ind w:left="0" w:hanging="2"/>
              <w:jc w:val="both"/>
              <w:rPr>
                <w:rFonts w:asciiTheme="majorHAnsi" w:hAnsiTheme="majorHAnsi" w:cstheme="majorHAnsi"/>
                <w:sz w:val="22"/>
                <w:szCs w:val="22"/>
              </w:rPr>
            </w:pPr>
            <w:r w:rsidRPr="00693D8F">
              <w:rPr>
                <w:rFonts w:asciiTheme="majorHAnsi" w:hAnsiTheme="majorHAnsi" w:cstheme="majorHAnsi"/>
                <w:sz w:val="22"/>
                <w:szCs w:val="22"/>
              </w:rPr>
              <w:t xml:space="preserve">Resolución 0,1–0,2 mm; exactitud </w:t>
            </w:r>
            <w:r w:rsidRPr="00693D8F">
              <w:rPr>
                <w:rFonts w:ascii="Aptos Display" w:hAnsi="Aptos Display" w:cs="Aptos Display"/>
                <w:sz w:val="22"/>
                <w:szCs w:val="22"/>
              </w:rPr>
              <w:t></w:t>
            </w:r>
            <w:r w:rsidRPr="00693D8F">
              <w:rPr>
                <w:rFonts w:asciiTheme="majorHAnsi" w:hAnsiTheme="majorHAnsi" w:cstheme="majorHAnsi"/>
                <w:sz w:val="22"/>
                <w:szCs w:val="22"/>
              </w:rPr>
              <w:t>}2 % (20</w:t>
            </w:r>
            <w:r w:rsidRPr="00693D8F">
              <w:rPr>
                <w:rFonts w:ascii="Aptos Display" w:hAnsi="Aptos Display" w:cs="Aptos Display"/>
                <w:sz w:val="22"/>
                <w:szCs w:val="22"/>
              </w:rPr>
              <w:t>–</w:t>
            </w:r>
            <w:r w:rsidRPr="00693D8F">
              <w:rPr>
                <w:rFonts w:asciiTheme="majorHAnsi" w:hAnsiTheme="majorHAnsi" w:cstheme="majorHAnsi"/>
                <w:sz w:val="22"/>
                <w:szCs w:val="22"/>
              </w:rPr>
              <w:t>300 mm/h).</w:t>
            </w:r>
          </w:p>
          <w:p w14:paraId="3E2BC56F" w14:textId="77777777" w:rsidR="00693D8F" w:rsidRPr="00693D8F" w:rsidRDefault="00693D8F" w:rsidP="00693D8F">
            <w:pPr>
              <w:spacing w:line="240" w:lineRule="atLeast"/>
              <w:ind w:left="0" w:hanging="2"/>
              <w:jc w:val="both"/>
              <w:rPr>
                <w:rFonts w:asciiTheme="majorHAnsi" w:hAnsiTheme="majorHAnsi" w:cstheme="majorHAnsi"/>
                <w:sz w:val="22"/>
                <w:szCs w:val="22"/>
              </w:rPr>
            </w:pPr>
            <w:r w:rsidRPr="00693D8F">
              <w:rPr>
                <w:rFonts w:asciiTheme="majorHAnsi" w:hAnsiTheme="majorHAnsi" w:cstheme="majorHAnsi"/>
                <w:sz w:val="22"/>
                <w:szCs w:val="22"/>
              </w:rPr>
              <w:lastRenderedPageBreak/>
              <w:t>Construcción en aluminio/UV-resistente; malla antihojas; calentador opcional valorable.</w:t>
            </w:r>
          </w:p>
          <w:p w14:paraId="30420333" w14:textId="77777777" w:rsidR="00693D8F" w:rsidRPr="00693D8F" w:rsidRDefault="00693D8F" w:rsidP="00693D8F">
            <w:pPr>
              <w:spacing w:line="240" w:lineRule="atLeast"/>
              <w:ind w:left="0" w:hanging="2"/>
              <w:jc w:val="both"/>
              <w:rPr>
                <w:rFonts w:asciiTheme="majorHAnsi" w:hAnsiTheme="majorHAnsi" w:cstheme="majorHAnsi"/>
                <w:sz w:val="22"/>
                <w:szCs w:val="22"/>
              </w:rPr>
            </w:pPr>
            <w:r w:rsidRPr="00693D8F">
              <w:rPr>
                <w:rFonts w:asciiTheme="majorHAnsi" w:hAnsiTheme="majorHAnsi" w:cstheme="majorHAnsi"/>
                <w:sz w:val="22"/>
                <w:szCs w:val="22"/>
              </w:rPr>
              <w:t>Sensor de radiación PAR (p. ej., CS310 o equivalente) (1 unid.)</w:t>
            </w:r>
          </w:p>
          <w:p w14:paraId="6F818721" w14:textId="77777777" w:rsidR="00693D8F" w:rsidRPr="00693D8F" w:rsidRDefault="00693D8F" w:rsidP="00693D8F">
            <w:pPr>
              <w:spacing w:line="240" w:lineRule="atLeast"/>
              <w:ind w:left="0" w:hanging="2"/>
              <w:jc w:val="both"/>
              <w:rPr>
                <w:rFonts w:asciiTheme="majorHAnsi" w:hAnsiTheme="majorHAnsi" w:cstheme="majorHAnsi"/>
                <w:sz w:val="22"/>
                <w:szCs w:val="22"/>
              </w:rPr>
            </w:pPr>
            <w:r w:rsidRPr="00693D8F">
              <w:rPr>
                <w:rFonts w:asciiTheme="majorHAnsi" w:hAnsiTheme="majorHAnsi" w:cstheme="majorHAnsi"/>
                <w:sz w:val="22"/>
                <w:szCs w:val="22"/>
              </w:rPr>
              <w:t xml:space="preserve">Rango 400–700 nm; exactitud </w:t>
            </w:r>
            <w:r w:rsidRPr="00693D8F">
              <w:rPr>
                <w:rFonts w:ascii="Aptos Display" w:hAnsi="Aptos Display" w:cs="Aptos Display"/>
                <w:sz w:val="22"/>
                <w:szCs w:val="22"/>
              </w:rPr>
              <w:t></w:t>
            </w:r>
            <w:r w:rsidRPr="00693D8F">
              <w:rPr>
                <w:rFonts w:asciiTheme="majorHAnsi" w:hAnsiTheme="majorHAnsi" w:cstheme="majorHAnsi"/>
                <w:sz w:val="22"/>
                <w:szCs w:val="22"/>
              </w:rPr>
              <w:t>}5 %; coseno corregido; calibraci</w:t>
            </w:r>
            <w:r w:rsidRPr="00693D8F">
              <w:rPr>
                <w:rFonts w:ascii="Aptos Display" w:hAnsi="Aptos Display" w:cs="Aptos Display"/>
                <w:sz w:val="22"/>
                <w:szCs w:val="22"/>
              </w:rPr>
              <w:t>ó</w:t>
            </w:r>
            <w:r w:rsidRPr="00693D8F">
              <w:rPr>
                <w:rFonts w:asciiTheme="majorHAnsi" w:hAnsiTheme="majorHAnsi" w:cstheme="majorHAnsi"/>
                <w:sz w:val="22"/>
                <w:szCs w:val="22"/>
              </w:rPr>
              <w:t>n trazable.</w:t>
            </w:r>
          </w:p>
          <w:p w14:paraId="5729E164" w14:textId="77777777" w:rsidR="00693D8F" w:rsidRPr="00693D8F" w:rsidRDefault="00693D8F" w:rsidP="00693D8F">
            <w:pPr>
              <w:spacing w:line="240" w:lineRule="atLeast"/>
              <w:ind w:left="0" w:hanging="2"/>
              <w:jc w:val="both"/>
              <w:rPr>
                <w:rFonts w:asciiTheme="majorHAnsi" w:hAnsiTheme="majorHAnsi" w:cstheme="majorHAnsi"/>
                <w:b/>
                <w:bCs/>
                <w:sz w:val="22"/>
                <w:szCs w:val="22"/>
              </w:rPr>
            </w:pPr>
            <w:r w:rsidRPr="00693D8F">
              <w:rPr>
                <w:rFonts w:asciiTheme="majorHAnsi" w:hAnsiTheme="majorHAnsi" w:cstheme="majorHAnsi"/>
                <w:b/>
                <w:bCs/>
                <w:sz w:val="22"/>
                <w:szCs w:val="22"/>
              </w:rPr>
              <w:t>Sonda termopar de suelo promediadora tipo TCAV (1 unid.)</w:t>
            </w:r>
          </w:p>
          <w:p w14:paraId="7CB8A273" w14:textId="77777777" w:rsidR="00693D8F" w:rsidRPr="00693D8F" w:rsidRDefault="00693D8F" w:rsidP="00693D8F">
            <w:pPr>
              <w:spacing w:line="240" w:lineRule="atLeast"/>
              <w:ind w:left="0" w:hanging="2"/>
              <w:jc w:val="both"/>
              <w:rPr>
                <w:rFonts w:asciiTheme="majorHAnsi" w:hAnsiTheme="majorHAnsi" w:cstheme="majorHAnsi"/>
                <w:sz w:val="22"/>
                <w:szCs w:val="22"/>
              </w:rPr>
            </w:pPr>
            <w:r w:rsidRPr="00693D8F">
              <w:rPr>
                <w:rFonts w:asciiTheme="majorHAnsi" w:hAnsiTheme="majorHAnsi" w:cstheme="majorHAnsi"/>
                <w:sz w:val="22"/>
                <w:szCs w:val="22"/>
              </w:rPr>
              <w:t xml:space="preserve">Promedio de temperatura en perfil con múltiplos termopares; rango −10 a 70 °C; precisión </w:t>
            </w:r>
            <w:r w:rsidRPr="00693D8F">
              <w:rPr>
                <w:rFonts w:ascii="Aptos Display" w:hAnsi="Aptos Display" w:cs="Aptos Display"/>
                <w:sz w:val="22"/>
                <w:szCs w:val="22"/>
              </w:rPr>
              <w:t></w:t>
            </w:r>
            <w:r w:rsidRPr="00693D8F">
              <w:rPr>
                <w:rFonts w:asciiTheme="majorHAnsi" w:hAnsiTheme="majorHAnsi" w:cstheme="majorHAnsi"/>
                <w:sz w:val="22"/>
                <w:szCs w:val="22"/>
              </w:rPr>
              <w:t xml:space="preserve">}0,5 </w:t>
            </w:r>
            <w:r w:rsidRPr="00693D8F">
              <w:rPr>
                <w:rFonts w:ascii="Aptos Display" w:hAnsi="Aptos Display" w:cs="Aptos Display"/>
                <w:sz w:val="22"/>
                <w:szCs w:val="22"/>
              </w:rPr>
              <w:t>°</w:t>
            </w:r>
            <w:r w:rsidRPr="00693D8F">
              <w:rPr>
                <w:rFonts w:asciiTheme="majorHAnsi" w:hAnsiTheme="majorHAnsi" w:cstheme="majorHAnsi"/>
                <w:sz w:val="22"/>
                <w:szCs w:val="22"/>
              </w:rPr>
              <w:t>C; cables enterrables.</w:t>
            </w:r>
          </w:p>
          <w:p w14:paraId="523D0FE9" w14:textId="77777777" w:rsidR="00693D8F" w:rsidRPr="00693D8F" w:rsidRDefault="00693D8F" w:rsidP="00693D8F">
            <w:pPr>
              <w:spacing w:line="240" w:lineRule="atLeast"/>
              <w:ind w:left="0" w:hanging="2"/>
              <w:jc w:val="both"/>
              <w:rPr>
                <w:rFonts w:asciiTheme="majorHAnsi" w:hAnsiTheme="majorHAnsi" w:cstheme="majorHAnsi"/>
                <w:b/>
                <w:bCs/>
                <w:sz w:val="22"/>
                <w:szCs w:val="22"/>
              </w:rPr>
            </w:pPr>
            <w:r w:rsidRPr="00693D8F">
              <w:rPr>
                <w:rFonts w:asciiTheme="majorHAnsi" w:hAnsiTheme="majorHAnsi" w:cstheme="majorHAnsi"/>
                <w:b/>
                <w:bCs/>
                <w:sz w:val="22"/>
                <w:szCs w:val="22"/>
              </w:rPr>
              <w:t>Radiómetro neto digital (p. ej., SN500SS o equivalente) (1 unid.)</w:t>
            </w:r>
          </w:p>
          <w:p w14:paraId="16EF0BEE" w14:textId="0B983A7C" w:rsidR="006B0507" w:rsidRPr="00621036" w:rsidRDefault="00693D8F" w:rsidP="00693D8F">
            <w:pPr>
              <w:ind w:left="0" w:hanging="2"/>
              <w:jc w:val="both"/>
              <w:rPr>
                <w:rFonts w:asciiTheme="majorHAnsi" w:eastAsia="Calibri" w:hAnsiTheme="majorHAnsi" w:cstheme="majorHAnsi"/>
                <w:color w:val="000000"/>
                <w:sz w:val="22"/>
                <w:szCs w:val="22"/>
              </w:rPr>
            </w:pPr>
            <w:r w:rsidRPr="00693D8F">
              <w:rPr>
                <w:rFonts w:asciiTheme="majorHAnsi" w:hAnsiTheme="majorHAnsi" w:cstheme="majorHAnsi"/>
                <w:sz w:val="22"/>
                <w:szCs w:val="22"/>
              </w:rPr>
              <w:t>Medición de radiación neta 4 vías (onda corta + larga); sensibilidad y respuesta especificadas; calibración trazable; clase/certificación del fabricante.</w:t>
            </w:r>
          </w:p>
        </w:tc>
        <w:tc>
          <w:tcPr>
            <w:tcW w:w="2212" w:type="dxa"/>
            <w:tcBorders>
              <w:top w:val="single" w:sz="4" w:space="0" w:color="000000"/>
              <w:left w:val="single" w:sz="4" w:space="0" w:color="000000"/>
              <w:bottom w:val="single" w:sz="4" w:space="0" w:color="000000"/>
              <w:right w:val="single" w:sz="4" w:space="0" w:color="000000"/>
            </w:tcBorders>
            <w:vAlign w:val="center"/>
          </w:tcPr>
          <w:p w14:paraId="6BA97237" w14:textId="77777777" w:rsidR="006B0507" w:rsidRPr="00677968" w:rsidRDefault="006B0507" w:rsidP="00DE2AF0">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5E8F9021" w14:textId="77777777" w:rsidR="006B0507" w:rsidRDefault="006B0507" w:rsidP="00DE2AF0">
            <w:pPr>
              <w:ind w:left="0" w:hanging="2"/>
              <w:jc w:val="center"/>
              <w:rPr>
                <w:rFonts w:asciiTheme="majorHAnsi" w:hAnsiTheme="majorHAnsi" w:cstheme="majorHAnsi"/>
                <w:sz w:val="22"/>
                <w:szCs w:val="22"/>
              </w:rPr>
            </w:pPr>
          </w:p>
          <w:p w14:paraId="44992E69" w14:textId="77777777" w:rsidR="006B0507" w:rsidRDefault="006B0507" w:rsidP="00DE2AF0">
            <w:pPr>
              <w:ind w:left="0" w:hanging="2"/>
              <w:jc w:val="center"/>
              <w:rPr>
                <w:rFonts w:asciiTheme="majorHAnsi" w:hAnsiTheme="majorHAnsi" w:cstheme="majorHAnsi"/>
                <w:sz w:val="22"/>
                <w:szCs w:val="22"/>
              </w:rPr>
            </w:pPr>
          </w:p>
          <w:p w14:paraId="4396459D" w14:textId="77777777" w:rsidR="006B0507" w:rsidRDefault="006B0507" w:rsidP="00DE2AF0">
            <w:pPr>
              <w:ind w:left="0" w:hanging="2"/>
              <w:jc w:val="center"/>
              <w:rPr>
                <w:rFonts w:asciiTheme="majorHAnsi" w:hAnsiTheme="majorHAnsi" w:cstheme="majorHAnsi"/>
                <w:sz w:val="22"/>
                <w:szCs w:val="22"/>
              </w:rPr>
            </w:pPr>
          </w:p>
          <w:p w14:paraId="76F97F35" w14:textId="77777777" w:rsidR="006B0507" w:rsidRDefault="006B0507" w:rsidP="00DE2AF0">
            <w:pPr>
              <w:ind w:left="0" w:hanging="2"/>
              <w:jc w:val="center"/>
              <w:rPr>
                <w:rFonts w:asciiTheme="majorHAnsi" w:hAnsiTheme="majorHAnsi" w:cstheme="majorHAnsi"/>
                <w:sz w:val="22"/>
                <w:szCs w:val="22"/>
              </w:rPr>
            </w:pPr>
          </w:p>
          <w:p w14:paraId="5C921907" w14:textId="77777777" w:rsidR="006B0507" w:rsidRDefault="006B0507" w:rsidP="00DE2AF0">
            <w:pPr>
              <w:ind w:left="0" w:hanging="2"/>
              <w:jc w:val="center"/>
              <w:rPr>
                <w:rFonts w:asciiTheme="majorHAnsi" w:hAnsiTheme="majorHAnsi" w:cstheme="majorHAnsi"/>
                <w:sz w:val="22"/>
                <w:szCs w:val="22"/>
              </w:rPr>
            </w:pPr>
          </w:p>
          <w:p w14:paraId="6BD6F649" w14:textId="77777777" w:rsidR="006B0507" w:rsidRDefault="006B0507" w:rsidP="00DE2AF0">
            <w:pPr>
              <w:ind w:left="0" w:hanging="2"/>
              <w:jc w:val="center"/>
              <w:rPr>
                <w:rFonts w:asciiTheme="majorHAnsi" w:hAnsiTheme="majorHAnsi" w:cstheme="majorHAnsi"/>
                <w:sz w:val="22"/>
                <w:szCs w:val="22"/>
              </w:rPr>
            </w:pPr>
          </w:p>
          <w:p w14:paraId="30B33912" w14:textId="77777777" w:rsidR="006B0507" w:rsidRDefault="006B0507" w:rsidP="00DE2AF0">
            <w:pPr>
              <w:ind w:left="0" w:hanging="2"/>
              <w:jc w:val="center"/>
              <w:rPr>
                <w:rFonts w:asciiTheme="majorHAnsi" w:hAnsiTheme="majorHAnsi" w:cstheme="majorHAnsi"/>
                <w:sz w:val="22"/>
                <w:szCs w:val="22"/>
              </w:rPr>
            </w:pPr>
          </w:p>
          <w:p w14:paraId="66A12667" w14:textId="77777777" w:rsidR="006B0507" w:rsidRDefault="006B0507" w:rsidP="00DE2AF0">
            <w:pPr>
              <w:ind w:left="0" w:hanging="2"/>
              <w:jc w:val="center"/>
              <w:rPr>
                <w:rFonts w:asciiTheme="majorHAnsi" w:hAnsiTheme="majorHAnsi" w:cstheme="majorHAnsi"/>
                <w:sz w:val="22"/>
                <w:szCs w:val="22"/>
              </w:rPr>
            </w:pPr>
          </w:p>
          <w:p w14:paraId="4F4B2678" w14:textId="77777777" w:rsidR="006B0507" w:rsidRDefault="006B0507" w:rsidP="00DE2AF0">
            <w:pPr>
              <w:ind w:left="0" w:hanging="2"/>
              <w:jc w:val="center"/>
              <w:rPr>
                <w:rFonts w:asciiTheme="majorHAnsi" w:hAnsiTheme="majorHAnsi" w:cstheme="majorHAnsi"/>
                <w:sz w:val="22"/>
                <w:szCs w:val="22"/>
              </w:rPr>
            </w:pPr>
          </w:p>
          <w:p w14:paraId="110F9666" w14:textId="77777777" w:rsidR="006B0507" w:rsidRDefault="006B0507" w:rsidP="00DE2AF0">
            <w:pPr>
              <w:ind w:left="0" w:hanging="2"/>
              <w:jc w:val="center"/>
              <w:rPr>
                <w:rFonts w:asciiTheme="majorHAnsi" w:hAnsiTheme="majorHAnsi" w:cstheme="majorHAnsi"/>
                <w:sz w:val="22"/>
                <w:szCs w:val="22"/>
              </w:rPr>
            </w:pPr>
          </w:p>
          <w:p w14:paraId="1E098180" w14:textId="77777777" w:rsidR="006B0507" w:rsidRPr="00677968" w:rsidRDefault="006B0507" w:rsidP="00DE2AF0">
            <w:pPr>
              <w:ind w:left="0" w:hanging="2"/>
              <w:jc w:val="center"/>
              <w:rPr>
                <w:rFonts w:asciiTheme="majorHAnsi" w:eastAsia="Calibri" w:hAnsiTheme="majorHAnsi" w:cstheme="majorHAnsi"/>
                <w:sz w:val="22"/>
                <w:szCs w:val="22"/>
              </w:rPr>
            </w:pPr>
            <w:r w:rsidRPr="00677968">
              <w:rPr>
                <w:rFonts w:asciiTheme="majorHAnsi" w:hAnsiTheme="majorHAnsi" w:cstheme="majorHAnsi"/>
                <w:sz w:val="22"/>
                <w:szCs w:val="22"/>
              </w:rPr>
              <w:t>1</w:t>
            </w:r>
          </w:p>
        </w:tc>
        <w:tc>
          <w:tcPr>
            <w:tcW w:w="1014" w:type="dxa"/>
            <w:tcBorders>
              <w:top w:val="nil"/>
              <w:left w:val="nil"/>
              <w:bottom w:val="nil"/>
              <w:right w:val="single" w:sz="4" w:space="0" w:color="000000"/>
            </w:tcBorders>
            <w:vAlign w:val="center"/>
          </w:tcPr>
          <w:p w14:paraId="6DB9D90C" w14:textId="77777777" w:rsidR="006B0507" w:rsidRPr="00677968" w:rsidRDefault="006B0507" w:rsidP="00DE2AF0">
            <w:pPr>
              <w:ind w:left="0" w:hanging="2"/>
              <w:jc w:val="center"/>
              <w:rPr>
                <w:rFonts w:asciiTheme="majorHAnsi" w:eastAsia="Calibri" w:hAnsiTheme="majorHAnsi" w:cstheme="majorHAnsi"/>
                <w:sz w:val="22"/>
                <w:szCs w:val="22"/>
              </w:rPr>
            </w:pPr>
          </w:p>
        </w:tc>
        <w:tc>
          <w:tcPr>
            <w:tcW w:w="818" w:type="dxa"/>
            <w:tcBorders>
              <w:top w:val="nil"/>
              <w:left w:val="nil"/>
              <w:bottom w:val="nil"/>
              <w:right w:val="single" w:sz="4" w:space="0" w:color="000000"/>
            </w:tcBorders>
            <w:vAlign w:val="center"/>
          </w:tcPr>
          <w:p w14:paraId="0DC8A17D" w14:textId="77777777" w:rsidR="006B0507" w:rsidRPr="00677968" w:rsidRDefault="006B0507" w:rsidP="00DE2AF0">
            <w:pPr>
              <w:ind w:left="0" w:hanging="2"/>
              <w:jc w:val="center"/>
              <w:rPr>
                <w:rFonts w:asciiTheme="majorHAnsi" w:eastAsia="Calibri" w:hAnsiTheme="majorHAnsi" w:cstheme="majorHAnsi"/>
                <w:sz w:val="22"/>
                <w:szCs w:val="22"/>
              </w:rPr>
            </w:pPr>
          </w:p>
        </w:tc>
      </w:tr>
    </w:tbl>
    <w:p w14:paraId="7F7F6FEB" w14:textId="77777777" w:rsidR="006B0507" w:rsidRDefault="006B0507" w:rsidP="006B0507">
      <w:pPr>
        <w:ind w:left="0" w:hanging="2"/>
        <w:jc w:val="both"/>
        <w:rPr>
          <w:rFonts w:asciiTheme="majorHAnsi" w:eastAsia="Calibri" w:hAnsiTheme="majorHAnsi" w:cstheme="majorHAnsi"/>
          <w:b/>
          <w:sz w:val="22"/>
          <w:szCs w:val="22"/>
        </w:rPr>
      </w:pPr>
    </w:p>
    <w:p w14:paraId="413B8504" w14:textId="77777777"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b/>
          <w:sz w:val="22"/>
          <w:szCs w:val="22"/>
        </w:rPr>
        <w:t xml:space="preserve">NOTA: No se debe modificar las columnas de “No de Ítem, Unidad, Descripción y Cantidad”. </w:t>
      </w:r>
      <w:r w:rsidRPr="00677968">
        <w:rPr>
          <w:rFonts w:asciiTheme="majorHAnsi" w:eastAsia="Calibri" w:hAnsiTheme="majorHAnsi" w:cstheme="majorHAnsi"/>
          <w:b/>
          <w:sz w:val="22"/>
          <w:szCs w:val="22"/>
          <w:u w:val="single"/>
        </w:rPr>
        <w:t>Sólo se deben diligenciar las columnas “Precio Unitario, Precio Total y Especificaciones Técnicas</w:t>
      </w:r>
      <w:r w:rsidRPr="00677968">
        <w:rPr>
          <w:rFonts w:asciiTheme="majorHAnsi" w:eastAsia="Calibri" w:hAnsiTheme="majorHAnsi" w:cstheme="majorHAnsi"/>
          <w:b/>
          <w:sz w:val="22"/>
          <w:szCs w:val="22"/>
        </w:rPr>
        <w:t>”. Debe ser cotizado sin IVA, toda vez que el proyecto se encuentra exento de IVA de conformidad al decreto 540 de 2004.</w:t>
      </w:r>
    </w:p>
    <w:p w14:paraId="236AB575" w14:textId="77777777" w:rsidR="006B0507" w:rsidRPr="00677968" w:rsidRDefault="006B0507" w:rsidP="006B0507">
      <w:pPr>
        <w:ind w:left="0" w:hanging="2"/>
        <w:jc w:val="both"/>
        <w:rPr>
          <w:rFonts w:asciiTheme="majorHAnsi" w:eastAsia="Calibri" w:hAnsiTheme="majorHAnsi" w:cstheme="majorHAnsi"/>
          <w:sz w:val="22"/>
          <w:szCs w:val="22"/>
        </w:rPr>
      </w:pPr>
    </w:p>
    <w:p w14:paraId="4FC01C86" w14:textId="77777777"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Las fechas y servicios, entregados serán de acuerdo con las establecidas por el contratante. </w:t>
      </w:r>
    </w:p>
    <w:p w14:paraId="18132469" w14:textId="77777777" w:rsidR="006B0507" w:rsidRPr="00677968" w:rsidRDefault="006B0507" w:rsidP="006B0507">
      <w:pPr>
        <w:ind w:left="0" w:hanging="2"/>
        <w:jc w:val="both"/>
        <w:rPr>
          <w:rFonts w:asciiTheme="majorHAnsi" w:eastAsia="Calibri" w:hAnsiTheme="majorHAnsi" w:cstheme="majorHAnsi"/>
          <w:sz w:val="22"/>
          <w:szCs w:val="22"/>
        </w:rPr>
      </w:pPr>
    </w:p>
    <w:p w14:paraId="3168A0EB" w14:textId="77777777"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El monto total de nuestra cotización asciende a </w:t>
      </w:r>
      <w:r w:rsidRPr="00677968">
        <w:rPr>
          <w:rFonts w:asciiTheme="majorHAnsi" w:eastAsia="Calibri" w:hAnsiTheme="majorHAnsi" w:cstheme="majorHAnsi"/>
          <w:sz w:val="22"/>
          <w:szCs w:val="22"/>
          <w:highlight w:val="lightGray"/>
        </w:rPr>
        <w:t>[</w:t>
      </w:r>
      <w:r w:rsidRPr="00677968">
        <w:rPr>
          <w:rFonts w:asciiTheme="majorHAnsi" w:eastAsia="Calibri" w:hAnsiTheme="majorHAnsi" w:cstheme="majorHAnsi"/>
          <w:i/>
          <w:sz w:val="22"/>
          <w:szCs w:val="22"/>
          <w:highlight w:val="lightGray"/>
        </w:rPr>
        <w:t>monto total en palabras</w:t>
      </w:r>
      <w:r w:rsidRPr="00677968">
        <w:rPr>
          <w:rFonts w:asciiTheme="majorHAnsi" w:eastAsia="Calibri" w:hAnsiTheme="majorHAnsi" w:cstheme="majorHAnsi"/>
          <w:sz w:val="22"/>
          <w:szCs w:val="22"/>
          <w:highlight w:val="lightGray"/>
        </w:rPr>
        <w:t>]</w:t>
      </w:r>
      <w:r w:rsidRPr="00677968">
        <w:rPr>
          <w:rFonts w:asciiTheme="majorHAnsi" w:eastAsia="Calibri" w:hAnsiTheme="majorHAnsi" w:cstheme="majorHAnsi"/>
          <w:sz w:val="22"/>
          <w:szCs w:val="22"/>
          <w:highlight w:val="lightGray"/>
          <w:vertAlign w:val="superscript"/>
        </w:rPr>
        <w:footnoteReference w:id="1"/>
      </w:r>
      <w:r w:rsidRPr="00677968">
        <w:rPr>
          <w:rFonts w:asciiTheme="majorHAnsi" w:eastAsia="Calibri" w:hAnsiTheme="majorHAnsi" w:cstheme="majorHAnsi"/>
          <w:sz w:val="22"/>
          <w:szCs w:val="22"/>
          <w:highlight w:val="lightGray"/>
        </w:rPr>
        <w:t>([</w:t>
      </w:r>
      <w:r w:rsidRPr="00677968">
        <w:rPr>
          <w:rFonts w:asciiTheme="majorHAnsi" w:eastAsia="Calibri" w:hAnsiTheme="majorHAnsi" w:cstheme="majorHAnsi"/>
          <w:i/>
          <w:sz w:val="22"/>
          <w:szCs w:val="22"/>
          <w:highlight w:val="lightGray"/>
        </w:rPr>
        <w:t>monto total en cifras</w:t>
      </w:r>
      <w:r w:rsidRPr="00677968">
        <w:rPr>
          <w:rFonts w:asciiTheme="majorHAnsi" w:eastAsia="Calibri" w:hAnsiTheme="majorHAnsi" w:cstheme="majorHAnsi"/>
          <w:sz w:val="22"/>
          <w:szCs w:val="22"/>
          <w:highlight w:val="lightGray"/>
        </w:rPr>
        <w:t>]).</w:t>
      </w:r>
      <w:r w:rsidRPr="00677968">
        <w:rPr>
          <w:rFonts w:asciiTheme="majorHAnsi" w:eastAsia="Calibri" w:hAnsiTheme="majorHAnsi" w:cstheme="majorHAnsi"/>
          <w:sz w:val="22"/>
          <w:szCs w:val="22"/>
        </w:rPr>
        <w:t xml:space="preserve"> Esta Cotización será obligatoria para nosotros hasta </w:t>
      </w:r>
      <w:r>
        <w:rPr>
          <w:rFonts w:asciiTheme="majorHAnsi" w:eastAsia="Calibri" w:hAnsiTheme="majorHAnsi" w:cstheme="majorHAnsi"/>
          <w:i/>
          <w:sz w:val="22"/>
          <w:szCs w:val="22"/>
        </w:rPr>
        <w:t xml:space="preserve"> </w:t>
      </w:r>
      <w:r>
        <w:rPr>
          <w:rFonts w:asciiTheme="majorHAnsi" w:eastAsia="Calibri" w:hAnsiTheme="majorHAnsi" w:cstheme="majorHAnsi"/>
          <w:iCs/>
          <w:sz w:val="22"/>
          <w:szCs w:val="22"/>
        </w:rPr>
        <w:t xml:space="preserve">90 días </w:t>
      </w:r>
      <w:r w:rsidRPr="00677968">
        <w:rPr>
          <w:rFonts w:asciiTheme="majorHAnsi" w:eastAsia="Calibri" w:hAnsiTheme="majorHAnsi" w:cstheme="majorHAnsi"/>
          <w:sz w:val="22"/>
          <w:szCs w:val="22"/>
        </w:rPr>
        <w:t>después de la fecha límite de presentación de cotizaciones, es decir hasta el __________________.</w:t>
      </w:r>
    </w:p>
    <w:p w14:paraId="15F229DF" w14:textId="77777777" w:rsidR="006B0507" w:rsidRPr="00677968" w:rsidRDefault="006B0507" w:rsidP="006B0507">
      <w:pPr>
        <w:ind w:left="0" w:hanging="2"/>
        <w:jc w:val="both"/>
        <w:rPr>
          <w:rFonts w:asciiTheme="majorHAnsi" w:eastAsia="Calibri" w:hAnsiTheme="majorHAnsi" w:cstheme="majorHAnsi"/>
          <w:sz w:val="22"/>
          <w:szCs w:val="22"/>
        </w:rPr>
      </w:pPr>
    </w:p>
    <w:p w14:paraId="063D02F8"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lastRenderedPageBreak/>
        <w:t xml:space="preserve">Esta Cotización y su aceptación escrita constituirán una obligación contractual entre nosotros, hasta que el Contrato haya sido perfeccionado por las partes. Entendemos que Ustedes no están obligación aceptar la Cotización de menor precio ni ninguna otra Cotización que se reciba. </w:t>
      </w:r>
    </w:p>
    <w:p w14:paraId="6DA784FC"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4EA5ADC8"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No presentamos ningún conflicto de interés.</w:t>
      </w:r>
    </w:p>
    <w:p w14:paraId="4508C3C6"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7C4B4EE7"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Nuestra empresa, su matriz, sus afiliados o subsidiarias, incluyendo todos los subcontratistas o proveedores para cualquier parte del Contrato, no hemos sido declarados inelegibles por el Banco.</w:t>
      </w:r>
    </w:p>
    <w:p w14:paraId="701EFB29"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6F964ED9"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Certificamos que:</w:t>
      </w:r>
    </w:p>
    <w:p w14:paraId="745BDDE1"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035BF51B" w14:textId="77777777" w:rsidR="006B0507" w:rsidRPr="00677968" w:rsidRDefault="006B0507" w:rsidP="006B0507">
      <w:pPr>
        <w:widowControl/>
        <w:numPr>
          <w:ilvl w:val="0"/>
          <w:numId w:val="1"/>
        </w:num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Nuestra oferta fue elaborada de forma independiente, sin ninguna consulta, comunicación o acuerdo con ningún otro oferente o competidor relacionada con los (i) los precios; (ii) la intención de presentar una oferta; o (iii) los métodos y factores utilizados para determinar aspectos técnicos y financieros de la oferta</w:t>
      </w:r>
    </w:p>
    <w:p w14:paraId="79D6C3BA" w14:textId="77777777" w:rsidR="006B0507" w:rsidRPr="00677968" w:rsidRDefault="006B0507" w:rsidP="006B0507">
      <w:pPr>
        <w:widowControl/>
        <w:numPr>
          <w:ilvl w:val="0"/>
          <w:numId w:val="1"/>
        </w:num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Los precios de la oferta no han sido ni serán dados a conocer directa y/o indirectamente a otros oferentes y/o competidores antes del acto de apertura de las cotizaciones;</w:t>
      </w:r>
    </w:p>
    <w:p w14:paraId="3F1FBC3E" w14:textId="77777777" w:rsidR="006B0507" w:rsidRPr="00677968" w:rsidRDefault="006B0507" w:rsidP="006B0507">
      <w:pPr>
        <w:widowControl/>
        <w:numPr>
          <w:ilvl w:val="0"/>
          <w:numId w:val="1"/>
        </w:num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El oferente no ha incurrido ni incurrirá en actos encaminados a inducir, forzar, coaccionar, ni acordar con otros oferentes su participación o no en este proceso con el propósito de restringir competencia.</w:t>
      </w:r>
    </w:p>
    <w:p w14:paraId="3F857229" w14:textId="77777777" w:rsidR="006B0507" w:rsidRPr="00677968" w:rsidRDefault="006B0507" w:rsidP="006B0507">
      <w:pPr>
        <w:widowControl/>
        <w:numPr>
          <w:ilvl w:val="0"/>
          <w:numId w:val="1"/>
        </w:num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No hemos incumplido ningún contrato con el Contratante durante el periodo especificado en esta solicitud.</w:t>
      </w:r>
    </w:p>
    <w:p w14:paraId="7D796E5A" w14:textId="77777777" w:rsidR="006B0507" w:rsidRPr="00677968" w:rsidRDefault="006B0507" w:rsidP="006B0507">
      <w:pPr>
        <w:ind w:left="0" w:hanging="2"/>
        <w:jc w:val="both"/>
        <w:rPr>
          <w:rFonts w:asciiTheme="majorHAnsi" w:eastAsia="Calibri" w:hAnsiTheme="majorHAnsi" w:cstheme="majorHAnsi"/>
          <w:sz w:val="22"/>
          <w:szCs w:val="22"/>
        </w:rPr>
      </w:pPr>
    </w:p>
    <w:p w14:paraId="368B5C45" w14:textId="77777777"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Atentamente,</w:t>
      </w:r>
    </w:p>
    <w:p w14:paraId="1B5F9A5C" w14:textId="77777777" w:rsidR="006B0507" w:rsidRPr="00677968" w:rsidRDefault="006B0507" w:rsidP="006B0507">
      <w:pPr>
        <w:ind w:left="0" w:hanging="2"/>
        <w:jc w:val="both"/>
        <w:rPr>
          <w:rFonts w:asciiTheme="majorHAnsi" w:eastAsia="Calibri" w:hAnsiTheme="majorHAnsi" w:cstheme="majorHAnsi"/>
          <w:sz w:val="22"/>
          <w:szCs w:val="22"/>
        </w:rPr>
      </w:pPr>
    </w:p>
    <w:p w14:paraId="3DB1865A" w14:textId="77777777"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[Firma autorizada]</w:t>
      </w:r>
    </w:p>
    <w:p w14:paraId="5E7BF6BF" w14:textId="77777777"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[Nombre y cargo del signatario]</w:t>
      </w:r>
    </w:p>
    <w:p w14:paraId="54B5E53D" w14:textId="77777777"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[Nombre de la firma]</w:t>
      </w:r>
    </w:p>
    <w:p w14:paraId="6128258E" w14:textId="77777777"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[Dirección)</w:t>
      </w:r>
    </w:p>
    <w:p w14:paraId="5C35B4F7" w14:textId="77777777" w:rsidR="006B0507" w:rsidRPr="00677968" w:rsidRDefault="006B0507" w:rsidP="006B0507">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(Teléfono)</w:t>
      </w:r>
    </w:p>
    <w:p w14:paraId="136C55A7" w14:textId="77777777" w:rsidR="006B0507" w:rsidRPr="00677968" w:rsidRDefault="006B0507" w:rsidP="006B0507">
      <w:pPr>
        <w:widowControl/>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p w14:paraId="745CDE3D" w14:textId="77777777" w:rsidR="006B0507" w:rsidRDefault="006B0507" w:rsidP="006B0507">
      <w:pPr>
        <w:ind w:leftChars="0" w:left="0" w:firstLineChars="0" w:firstLine="0"/>
        <w:jc w:val="center"/>
        <w:rPr>
          <w:rFonts w:asciiTheme="majorHAnsi" w:eastAsia="Calibri" w:hAnsiTheme="majorHAnsi" w:cstheme="majorHAnsi"/>
          <w:b/>
          <w:sz w:val="22"/>
          <w:szCs w:val="22"/>
        </w:rPr>
      </w:pPr>
    </w:p>
    <w:p w14:paraId="4A7F0142"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53E02ADD"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7E020A82"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2F3BF5E1"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073AC3F4"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58377EEC"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6403A412"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51DAB683"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51314C63"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6BF60D9F"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0CC7BBD4"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159C4E19"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7042C886"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07C3AD21"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2F4DA4D4"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3D5234A4" w14:textId="77777777" w:rsidR="006B0507" w:rsidRPr="00677968" w:rsidRDefault="006B0507" w:rsidP="006B0507">
      <w:pPr>
        <w:widowControl/>
        <w:pBdr>
          <w:top w:val="nil"/>
          <w:left w:val="nil"/>
          <w:bottom w:val="nil"/>
          <w:right w:val="nil"/>
          <w:between w:val="nil"/>
        </w:pBdr>
        <w:spacing w:line="240" w:lineRule="auto"/>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lastRenderedPageBreak/>
        <w:t>SECCIÓN VI</w:t>
      </w:r>
    </w:p>
    <w:p w14:paraId="15BA3BB1" w14:textId="77777777" w:rsidR="006B0507" w:rsidRPr="00677968" w:rsidRDefault="006B0507" w:rsidP="006B0507">
      <w:pPr>
        <w:widowControl/>
        <w:pBdr>
          <w:top w:val="nil"/>
          <w:left w:val="nil"/>
          <w:bottom w:val="nil"/>
          <w:right w:val="nil"/>
          <w:between w:val="nil"/>
        </w:pBdr>
        <w:spacing w:line="240" w:lineRule="auto"/>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Formulario de Declaración de mantenimiento de la oferta</w:t>
      </w:r>
    </w:p>
    <w:p w14:paraId="2490AD0D" w14:textId="77777777" w:rsidR="006B0507" w:rsidRPr="00677968" w:rsidRDefault="006B0507" w:rsidP="006B0507">
      <w:pPr>
        <w:ind w:left="0" w:hanging="2"/>
        <w:jc w:val="both"/>
        <w:rPr>
          <w:rFonts w:asciiTheme="majorHAnsi" w:eastAsia="Calibri" w:hAnsiTheme="majorHAnsi" w:cstheme="majorHAnsi"/>
          <w:sz w:val="22"/>
          <w:szCs w:val="22"/>
        </w:rPr>
      </w:pPr>
    </w:p>
    <w:p w14:paraId="5D4B8497" w14:textId="77777777" w:rsidR="006B0507" w:rsidRPr="00677968" w:rsidRDefault="006B0507" w:rsidP="006B0507">
      <w:pPr>
        <w:ind w:left="0" w:hanging="2"/>
        <w:rPr>
          <w:rFonts w:asciiTheme="majorHAnsi" w:eastAsia="Calibri" w:hAnsiTheme="majorHAnsi" w:cstheme="majorHAnsi"/>
          <w:sz w:val="22"/>
          <w:szCs w:val="22"/>
        </w:rPr>
      </w:pPr>
      <w:r w:rsidRPr="00677968">
        <w:rPr>
          <w:rFonts w:asciiTheme="majorHAnsi" w:eastAsia="Calibri" w:hAnsiTheme="majorHAnsi" w:cstheme="majorHAnsi"/>
          <w:i/>
          <w:sz w:val="22"/>
          <w:szCs w:val="22"/>
        </w:rPr>
        <w:t>[Deben completar este Formulario de Declaración de Mantenimiento de Oferta de acuerdo con las instrucciones indicadas].</w:t>
      </w:r>
    </w:p>
    <w:p w14:paraId="4C861E32" w14:textId="77777777" w:rsidR="006B0507" w:rsidRPr="00677968" w:rsidRDefault="006B0507" w:rsidP="006B0507">
      <w:pPr>
        <w:tabs>
          <w:tab w:val="right" w:pos="9360"/>
        </w:tabs>
        <w:ind w:left="0" w:hanging="2"/>
        <w:jc w:val="right"/>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Fecha: </w:t>
      </w:r>
      <w:r w:rsidRPr="00677968">
        <w:rPr>
          <w:rFonts w:asciiTheme="majorHAnsi" w:eastAsia="Calibri" w:hAnsiTheme="majorHAnsi" w:cstheme="majorHAnsi"/>
          <w:i/>
          <w:sz w:val="22"/>
          <w:szCs w:val="22"/>
        </w:rPr>
        <w:t>[indique día, mes y año de presentación de la oferta].</w:t>
      </w:r>
    </w:p>
    <w:p w14:paraId="50413EE7" w14:textId="77777777" w:rsidR="006B0507" w:rsidRPr="00677968" w:rsidRDefault="006B0507" w:rsidP="006B0507">
      <w:pPr>
        <w:tabs>
          <w:tab w:val="right" w:pos="9360"/>
        </w:tabs>
        <w:ind w:left="0" w:hanging="2"/>
        <w:jc w:val="right"/>
        <w:rPr>
          <w:rFonts w:asciiTheme="majorHAnsi" w:eastAsia="Calibri" w:hAnsiTheme="majorHAnsi" w:cstheme="majorHAnsi"/>
          <w:sz w:val="22"/>
          <w:szCs w:val="22"/>
        </w:rPr>
      </w:pPr>
      <w:r w:rsidRPr="00677968">
        <w:rPr>
          <w:rFonts w:asciiTheme="majorHAnsi" w:eastAsia="Calibri" w:hAnsiTheme="majorHAnsi" w:cstheme="majorHAnsi"/>
          <w:sz w:val="22"/>
          <w:szCs w:val="22"/>
        </w:rPr>
        <w:t>Oferta n.</w:t>
      </w:r>
      <w:r w:rsidRPr="00677968">
        <w:rPr>
          <w:rFonts w:asciiTheme="majorHAnsi" w:eastAsia="Symbol" w:hAnsiTheme="majorHAnsi" w:cstheme="majorHAnsi"/>
          <w:sz w:val="22"/>
          <w:szCs w:val="22"/>
        </w:rPr>
        <w:t></w:t>
      </w:r>
      <w:r w:rsidRPr="00677968">
        <w:rPr>
          <w:rFonts w:asciiTheme="majorHAnsi" w:eastAsia="Calibri" w:hAnsiTheme="majorHAnsi" w:cstheme="majorHAnsi"/>
          <w:sz w:val="22"/>
          <w:szCs w:val="22"/>
        </w:rPr>
        <w:t xml:space="preserve">: </w:t>
      </w:r>
      <w:r w:rsidRPr="00677968">
        <w:rPr>
          <w:rFonts w:asciiTheme="majorHAnsi" w:eastAsia="Calibri" w:hAnsiTheme="majorHAnsi" w:cstheme="majorHAnsi"/>
          <w:i/>
          <w:sz w:val="22"/>
          <w:szCs w:val="22"/>
        </w:rPr>
        <w:t>[número del proceso de la SDC].</w:t>
      </w:r>
    </w:p>
    <w:p w14:paraId="7216FC7B" w14:textId="77777777" w:rsidR="006B0507" w:rsidRPr="00677968" w:rsidRDefault="006B0507" w:rsidP="006B0507">
      <w:pPr>
        <w:ind w:left="0" w:hanging="2"/>
        <w:rPr>
          <w:rFonts w:asciiTheme="majorHAnsi" w:eastAsia="Calibri" w:hAnsiTheme="majorHAnsi" w:cstheme="majorHAnsi"/>
          <w:sz w:val="22"/>
          <w:szCs w:val="22"/>
        </w:rPr>
      </w:pPr>
    </w:p>
    <w:p w14:paraId="2E4AFC21" w14:textId="77777777" w:rsidR="006B0507" w:rsidRPr="00677968" w:rsidRDefault="006B0507" w:rsidP="00693D8F">
      <w:pPr>
        <w:ind w:leftChars="0" w:left="0" w:firstLineChars="0" w:firstLine="0"/>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Para: </w:t>
      </w:r>
      <w:r w:rsidRPr="00677968">
        <w:rPr>
          <w:rFonts w:asciiTheme="majorHAnsi" w:eastAsia="Calibri" w:hAnsiTheme="majorHAnsi" w:cstheme="majorHAnsi"/>
          <w:i/>
          <w:sz w:val="22"/>
          <w:szCs w:val="22"/>
        </w:rPr>
        <w:t>[indique el nombre completo del Comprador].</w:t>
      </w:r>
    </w:p>
    <w:p w14:paraId="0DB74CE4" w14:textId="77777777" w:rsidR="006B0507" w:rsidRPr="00677968" w:rsidRDefault="006B0507" w:rsidP="006B0507">
      <w:pPr>
        <w:ind w:left="0" w:hanging="2"/>
        <w:rPr>
          <w:rFonts w:asciiTheme="majorHAnsi" w:eastAsia="Calibri" w:hAnsiTheme="majorHAnsi" w:cstheme="majorHAnsi"/>
          <w:sz w:val="22"/>
          <w:szCs w:val="22"/>
        </w:rPr>
      </w:pPr>
    </w:p>
    <w:p w14:paraId="4C0D8492" w14:textId="77777777" w:rsidR="006B0507" w:rsidRPr="00677968" w:rsidRDefault="006B0507" w:rsidP="006B0507">
      <w:pPr>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Los suscriptos declaramos que: </w:t>
      </w:r>
    </w:p>
    <w:p w14:paraId="3DA3A24A"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4995D523"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Entendemos que, de acuerdo con sus condiciones, las Ofertas deberán estar respaldadas por una Declaración de Mantenimiento de Oferta.</w:t>
      </w:r>
    </w:p>
    <w:p w14:paraId="141E7AE8"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705DCBED"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 xml:space="preserve">Aceptamos que seremos declarados automáticamente inelegibles para participar en cualquier licitación de contrato con el Comprador por un período de </w:t>
      </w:r>
      <w:r>
        <w:rPr>
          <w:rFonts w:ascii="Calibri" w:eastAsia="Calibri" w:hAnsi="Calibri" w:cs="Calibri"/>
          <w:b/>
          <w:i/>
          <w:color w:val="000000"/>
          <w:sz w:val="22"/>
          <w:szCs w:val="22"/>
        </w:rPr>
        <w:t>un (1) año</w:t>
      </w:r>
      <w:r>
        <w:rPr>
          <w:rFonts w:ascii="Calibri" w:eastAsia="Calibri" w:hAnsi="Calibri" w:cs="Calibri"/>
          <w:i/>
          <w:color w:val="000000"/>
          <w:sz w:val="22"/>
          <w:szCs w:val="22"/>
        </w:rPr>
        <w:t xml:space="preserve"> </w:t>
      </w:r>
      <w:r w:rsidRPr="00677968">
        <w:rPr>
          <w:rFonts w:asciiTheme="majorHAnsi" w:eastAsia="Calibri" w:hAnsiTheme="majorHAnsi" w:cstheme="majorHAnsi"/>
          <w:color w:val="000000"/>
          <w:sz w:val="22"/>
          <w:szCs w:val="22"/>
        </w:rPr>
        <w:t xml:space="preserve">contado a partir de </w:t>
      </w:r>
      <w:r w:rsidRPr="00677968">
        <w:rPr>
          <w:rFonts w:asciiTheme="majorHAnsi" w:eastAsia="Calibri" w:hAnsiTheme="majorHAnsi" w:cstheme="majorHAnsi"/>
          <w:i/>
          <w:color w:val="000000"/>
          <w:sz w:val="22"/>
          <w:szCs w:val="22"/>
        </w:rPr>
        <w:t xml:space="preserve">[indique la fecha] </w:t>
      </w:r>
      <w:r w:rsidRPr="00677968">
        <w:rPr>
          <w:rFonts w:asciiTheme="majorHAnsi" w:eastAsia="Calibri" w:hAnsiTheme="majorHAnsi" w:cstheme="majorHAnsi"/>
          <w:color w:val="000000"/>
          <w:sz w:val="22"/>
          <w:szCs w:val="22"/>
        </w:rPr>
        <w:t>si incumplimos nuestras obligaciones derivadas de las condiciones de la oferta, a saber:</w:t>
      </w:r>
    </w:p>
    <w:p w14:paraId="59654566"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1D242F1A" w14:textId="77777777" w:rsidR="006B0507" w:rsidRPr="00677968" w:rsidRDefault="006B0507" w:rsidP="006B0507">
      <w:pPr>
        <w:widowControl/>
        <w:numPr>
          <w:ilvl w:val="4"/>
          <w:numId w:val="2"/>
        </w:num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si retiramos nuestra Oferta durante el período de vigencia de la Oferta especificado en la Carta de la Oferta, o</w:t>
      </w:r>
    </w:p>
    <w:p w14:paraId="102FB225" w14:textId="77777777" w:rsidR="006B0507" w:rsidRPr="00677968" w:rsidRDefault="006B0507" w:rsidP="006B0507">
      <w:pPr>
        <w:widowControl/>
        <w:numPr>
          <w:ilvl w:val="4"/>
          <w:numId w:val="2"/>
        </w:num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si, una vez que el Comprador nos ha notificado de la aceptación de nuestra Oferta dentro del período de validez de la Oferta, no firmamos o nos negamos a firmar el Contrato.</w:t>
      </w:r>
    </w:p>
    <w:p w14:paraId="10D1E3AD"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5F181A18" w14:textId="77777777" w:rsidR="006B0507" w:rsidRPr="00677968" w:rsidRDefault="006B0507" w:rsidP="006B0507">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Entendemos que esta Declaración de Mantenimiento de Oferta expirará en el caso de que no seamos seleccionados, y (i) si recibimos una notificación con el nombre del Licitante seleccionado, o (ii) han transcurrido 28 días después de la expiración de nuestra Oferta, lo que ocurra primero.</w:t>
      </w:r>
    </w:p>
    <w:p w14:paraId="3AADF80A" w14:textId="77777777" w:rsidR="006B0507" w:rsidRPr="00677968" w:rsidRDefault="006B0507" w:rsidP="006B0507">
      <w:pPr>
        <w:tabs>
          <w:tab w:val="left" w:pos="6120"/>
        </w:tabs>
        <w:ind w:left="0" w:hanging="2"/>
        <w:rPr>
          <w:rFonts w:asciiTheme="majorHAnsi" w:eastAsia="Calibri" w:hAnsiTheme="majorHAnsi" w:cstheme="majorHAnsi"/>
          <w:sz w:val="22"/>
          <w:szCs w:val="22"/>
        </w:rPr>
      </w:pPr>
    </w:p>
    <w:p w14:paraId="3F1171FF" w14:textId="77777777" w:rsidR="006B0507" w:rsidRPr="00677968" w:rsidRDefault="006B0507" w:rsidP="006B0507">
      <w:pPr>
        <w:tabs>
          <w:tab w:val="left" w:pos="6120"/>
        </w:tabs>
        <w:spacing w:before="120" w:after="120" w:line="360" w:lineRule="auto"/>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t>Nombre del Licitante*:</w:t>
      </w:r>
      <w:r w:rsidRPr="00677968">
        <w:rPr>
          <w:rFonts w:asciiTheme="majorHAnsi" w:eastAsia="Calibri" w:hAnsiTheme="majorHAnsi" w:cstheme="majorHAnsi"/>
          <w:sz w:val="22"/>
          <w:szCs w:val="22"/>
          <w:u w:val="single"/>
        </w:rPr>
        <w:tab/>
      </w:r>
    </w:p>
    <w:p w14:paraId="1B4F1FBA" w14:textId="77777777" w:rsidR="006B0507" w:rsidRPr="00677968" w:rsidRDefault="006B0507" w:rsidP="006B0507">
      <w:pPr>
        <w:tabs>
          <w:tab w:val="right" w:pos="9000"/>
        </w:tabs>
        <w:spacing w:before="120" w:after="120" w:line="360" w:lineRule="auto"/>
        <w:ind w:left="0" w:hanging="2"/>
        <w:rPr>
          <w:rFonts w:asciiTheme="majorHAnsi" w:eastAsia="Calibri" w:hAnsiTheme="majorHAnsi" w:cstheme="majorHAnsi"/>
          <w:sz w:val="22"/>
          <w:szCs w:val="22"/>
          <w:u w:val="single"/>
        </w:rPr>
      </w:pPr>
      <w:r w:rsidRPr="00677968">
        <w:rPr>
          <w:rFonts w:asciiTheme="majorHAnsi" w:eastAsia="Calibri" w:hAnsiTheme="majorHAnsi" w:cstheme="majorHAnsi"/>
          <w:sz w:val="22"/>
          <w:szCs w:val="22"/>
        </w:rPr>
        <w:t xml:space="preserve">Nombre de la persona debidamente autorizada para firmar la Oferta en nombre del Licitante**: </w:t>
      </w:r>
      <w:r w:rsidRPr="00677968">
        <w:rPr>
          <w:rFonts w:asciiTheme="majorHAnsi" w:eastAsia="Calibri" w:hAnsiTheme="majorHAnsi" w:cstheme="majorHAnsi"/>
          <w:sz w:val="22"/>
          <w:szCs w:val="22"/>
        </w:rPr>
        <w:tab/>
      </w:r>
    </w:p>
    <w:p w14:paraId="4580DF1D" w14:textId="77777777" w:rsidR="006B0507" w:rsidRPr="00677968" w:rsidRDefault="006B0507" w:rsidP="006B0507">
      <w:pPr>
        <w:tabs>
          <w:tab w:val="right" w:pos="9000"/>
        </w:tabs>
        <w:spacing w:before="120" w:after="120" w:line="360" w:lineRule="auto"/>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Cargo de la persona firmante del Formulario de la Oferta: </w:t>
      </w:r>
      <w:r w:rsidRPr="00677968">
        <w:rPr>
          <w:rFonts w:asciiTheme="majorHAnsi" w:eastAsia="Calibri" w:hAnsiTheme="majorHAnsi" w:cstheme="majorHAnsi"/>
          <w:sz w:val="22"/>
          <w:szCs w:val="22"/>
        </w:rPr>
        <w:tab/>
      </w:r>
    </w:p>
    <w:p w14:paraId="7BFC2C61" w14:textId="77777777" w:rsidR="006B0507" w:rsidRPr="00677968" w:rsidRDefault="006B0507" w:rsidP="006B0507">
      <w:pPr>
        <w:tabs>
          <w:tab w:val="right" w:pos="9000"/>
        </w:tabs>
        <w:spacing w:before="120" w:after="120" w:line="360" w:lineRule="auto"/>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Firma de la persona nombrada anteriormente: </w:t>
      </w:r>
      <w:r w:rsidRPr="00677968">
        <w:rPr>
          <w:rFonts w:asciiTheme="majorHAnsi" w:eastAsia="Calibri" w:hAnsiTheme="majorHAnsi" w:cstheme="majorHAnsi"/>
          <w:sz w:val="22"/>
          <w:szCs w:val="22"/>
        </w:rPr>
        <w:tab/>
      </w:r>
    </w:p>
    <w:p w14:paraId="143F8512" w14:textId="77777777" w:rsidR="006B0507" w:rsidRPr="00677968" w:rsidRDefault="006B0507" w:rsidP="006B0507">
      <w:pPr>
        <w:tabs>
          <w:tab w:val="left" w:pos="6120"/>
        </w:tabs>
        <w:spacing w:before="120" w:after="120" w:line="360" w:lineRule="auto"/>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t>Fecha de la firma: El día ____________ del mes __________________ del año __________.</w:t>
      </w:r>
    </w:p>
    <w:p w14:paraId="63E0B284" w14:textId="77777777" w:rsidR="006B0507" w:rsidRPr="00677968" w:rsidRDefault="006B0507" w:rsidP="006B0507">
      <w:pPr>
        <w:tabs>
          <w:tab w:val="left" w:pos="6120"/>
        </w:tabs>
        <w:spacing w:before="120" w:after="120" w:line="360" w:lineRule="auto"/>
        <w:ind w:left="0" w:hanging="2"/>
        <w:rPr>
          <w:rFonts w:asciiTheme="majorHAnsi" w:eastAsia="Calibri" w:hAnsiTheme="majorHAnsi" w:cstheme="majorHAnsi"/>
          <w:sz w:val="22"/>
          <w:szCs w:val="22"/>
        </w:rPr>
      </w:pPr>
      <w:r w:rsidRPr="00677968">
        <w:rPr>
          <w:rFonts w:asciiTheme="majorHAnsi" w:eastAsia="Calibri" w:hAnsiTheme="majorHAnsi" w:cstheme="majorHAnsi"/>
          <w:b/>
          <w:sz w:val="22"/>
          <w:szCs w:val="22"/>
        </w:rPr>
        <w:t>*</w:t>
      </w:r>
      <w:r w:rsidRPr="00677968">
        <w:rPr>
          <w:rFonts w:asciiTheme="majorHAnsi" w:eastAsia="Calibri" w:hAnsiTheme="majorHAnsi" w:cstheme="majorHAnsi"/>
          <w:sz w:val="22"/>
          <w:szCs w:val="22"/>
        </w:rPr>
        <w:t xml:space="preserve"> En el caso de las Ofertas presentadas por una APCA, especifique el nombre de la APCA que actúa como Licitante.</w:t>
      </w:r>
    </w:p>
    <w:p w14:paraId="3E2D6DE3" w14:textId="77777777" w:rsidR="006B0507" w:rsidRPr="00677968" w:rsidRDefault="006B0507" w:rsidP="006B0507">
      <w:pPr>
        <w:tabs>
          <w:tab w:val="right" w:pos="9000"/>
        </w:tabs>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t>** La persona que firme la Oferta deberá contar con el poder otorgado por el Licitante. El poder deberá adjuntarse a los Formularios de la Oferta.</w:t>
      </w:r>
    </w:p>
    <w:p w14:paraId="6FDD6192" w14:textId="77777777" w:rsidR="006B0507" w:rsidRPr="00677968" w:rsidRDefault="006B0507" w:rsidP="006B0507">
      <w:pPr>
        <w:tabs>
          <w:tab w:val="right" w:pos="9000"/>
        </w:tabs>
        <w:ind w:left="0" w:hanging="2"/>
        <w:rPr>
          <w:rFonts w:asciiTheme="majorHAnsi" w:eastAsia="Calibri" w:hAnsiTheme="majorHAnsi" w:cstheme="majorHAnsi"/>
          <w:sz w:val="22"/>
          <w:szCs w:val="22"/>
        </w:rPr>
      </w:pPr>
    </w:p>
    <w:p w14:paraId="4B8CA552" w14:textId="5DD334DC" w:rsidR="006B0507" w:rsidRPr="00677968" w:rsidRDefault="006B0507" w:rsidP="00693D8F">
      <w:pPr>
        <w:tabs>
          <w:tab w:val="right" w:pos="9000"/>
        </w:tabs>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i/>
          <w:sz w:val="22"/>
          <w:szCs w:val="22"/>
          <w:highlight w:val="lightGray"/>
        </w:rPr>
        <w:t>[Nota: En caso de que se trate de una APCA, la Declaración de Mantenimiento de Oferta deberá emitirse en nombre de todos los miembros de la APCA que presenta la Oferta].</w:t>
      </w:r>
    </w:p>
    <w:p w14:paraId="6DAF1E5E" w14:textId="77777777" w:rsidR="006B0507" w:rsidRPr="00677968" w:rsidRDefault="006B0507" w:rsidP="006B0507">
      <w:pPr>
        <w:ind w:left="0" w:right="-1" w:hanging="2"/>
        <w:jc w:val="center"/>
        <w:rPr>
          <w:rFonts w:asciiTheme="majorHAnsi" w:eastAsia="Calibri" w:hAnsiTheme="majorHAnsi" w:cstheme="majorHAnsi"/>
          <w:sz w:val="22"/>
          <w:szCs w:val="22"/>
        </w:rPr>
      </w:pPr>
      <w:r w:rsidRPr="00677968">
        <w:rPr>
          <w:rFonts w:asciiTheme="majorHAnsi" w:hAnsiTheme="majorHAnsi" w:cstheme="majorHAnsi"/>
          <w:sz w:val="22"/>
          <w:szCs w:val="22"/>
        </w:rPr>
        <w:br w:type="page"/>
      </w:r>
      <w:r w:rsidRPr="00677968">
        <w:rPr>
          <w:rFonts w:asciiTheme="majorHAnsi" w:eastAsia="Calibri" w:hAnsiTheme="majorHAnsi" w:cstheme="majorHAnsi"/>
          <w:b/>
          <w:sz w:val="22"/>
          <w:szCs w:val="22"/>
        </w:rPr>
        <w:lastRenderedPageBreak/>
        <w:t>ANEXO No. 1</w:t>
      </w:r>
    </w:p>
    <w:p w14:paraId="722CE558" w14:textId="77777777" w:rsidR="006B0507" w:rsidRPr="00677968" w:rsidRDefault="006B0507" w:rsidP="006B0507">
      <w:pPr>
        <w:ind w:left="0" w:right="-74" w:hanging="2"/>
        <w:jc w:val="center"/>
        <w:rPr>
          <w:rFonts w:asciiTheme="majorHAnsi" w:eastAsia="Calibri" w:hAnsiTheme="majorHAnsi" w:cstheme="majorHAnsi"/>
          <w:sz w:val="22"/>
          <w:szCs w:val="22"/>
        </w:rPr>
      </w:pPr>
      <w:r w:rsidRPr="00677968">
        <w:rPr>
          <w:rFonts w:asciiTheme="majorHAnsi" w:eastAsia="Calibri" w:hAnsiTheme="majorHAnsi" w:cstheme="majorHAnsi"/>
          <w:b/>
          <w:sz w:val="22"/>
          <w:szCs w:val="22"/>
        </w:rPr>
        <w:t>Fraude y Corrupción</w:t>
      </w:r>
    </w:p>
    <w:p w14:paraId="3F676212" w14:textId="77777777" w:rsidR="006B0507" w:rsidRPr="00677968" w:rsidRDefault="006B0507" w:rsidP="006B0507">
      <w:pPr>
        <w:ind w:left="0" w:right="-74" w:hanging="2"/>
        <w:jc w:val="both"/>
        <w:rPr>
          <w:rFonts w:asciiTheme="majorHAnsi" w:eastAsia="Calibri" w:hAnsiTheme="majorHAnsi" w:cstheme="majorHAnsi"/>
          <w:sz w:val="22"/>
          <w:szCs w:val="22"/>
        </w:rPr>
      </w:pPr>
    </w:p>
    <w:p w14:paraId="7C2A252D" w14:textId="77777777" w:rsidR="006B0507" w:rsidRPr="00677968" w:rsidRDefault="006B0507" w:rsidP="006B0507">
      <w:pPr>
        <w:numPr>
          <w:ilvl w:val="0"/>
          <w:numId w:val="3"/>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b/>
          <w:sz w:val="22"/>
          <w:szCs w:val="22"/>
        </w:rPr>
        <w:t>Propósito</w:t>
      </w:r>
    </w:p>
    <w:p w14:paraId="77E12AFA" w14:textId="77777777" w:rsidR="006B0507" w:rsidRPr="00677968" w:rsidRDefault="006B0507" w:rsidP="006B0507">
      <w:pPr>
        <w:numPr>
          <w:ilvl w:val="1"/>
          <w:numId w:val="3"/>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Las Directrices Contra la Corrupción del Banco y este anexo se aplican a las adquisiciones realizadas en el marco de las operaciones de financiamiento para proyectos de inversión de dicho organismo.</w:t>
      </w:r>
    </w:p>
    <w:p w14:paraId="143AADF0" w14:textId="77777777" w:rsidR="006B0507" w:rsidRPr="00677968" w:rsidRDefault="006B0507" w:rsidP="006B0507">
      <w:pPr>
        <w:numPr>
          <w:ilvl w:val="0"/>
          <w:numId w:val="3"/>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b/>
          <w:sz w:val="22"/>
          <w:szCs w:val="22"/>
        </w:rPr>
        <w:t>Requisitos</w:t>
      </w:r>
    </w:p>
    <w:p w14:paraId="2A2F8011" w14:textId="77777777" w:rsidR="006B0507" w:rsidRPr="00677968" w:rsidRDefault="006B0507" w:rsidP="006B0507">
      <w:pPr>
        <w:numPr>
          <w:ilvl w:val="0"/>
          <w:numId w:val="4"/>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El Banco exige que los prestatarios (incluidos los beneficiarios del financiamiento que otorga); licitantes (proponentes / postulantes), consultores, contratistas y proveedores; subcontratistas, subconsultores,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7B50E8A2" w14:textId="77777777" w:rsidR="006B0507" w:rsidRPr="00677968" w:rsidRDefault="006B0507" w:rsidP="006B0507">
      <w:pPr>
        <w:numPr>
          <w:ilvl w:val="0"/>
          <w:numId w:val="4"/>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A tal fin, el Banco:</w:t>
      </w:r>
    </w:p>
    <w:p w14:paraId="69F99499" w14:textId="77777777" w:rsidR="006B0507" w:rsidRPr="00677968" w:rsidRDefault="006B0507" w:rsidP="006B0507">
      <w:pPr>
        <w:numPr>
          <w:ilvl w:val="0"/>
          <w:numId w:val="5"/>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Define de la siguiente manera, a los efectos de esta disposición, las expresiones que se indican a continuación:</w:t>
      </w:r>
    </w:p>
    <w:p w14:paraId="26C69444" w14:textId="77777777" w:rsidR="006B0507" w:rsidRPr="00677968" w:rsidRDefault="006B0507" w:rsidP="006B0507">
      <w:pPr>
        <w:numPr>
          <w:ilvl w:val="0"/>
          <w:numId w:val="6"/>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por “práctica corrupta” se entiende el ofrecimiento, entrega, aceptación o solicitud directa o indirecta de cualquier cosa de valor con el fin de influir indebidamente en el accionar de otra parte;</w:t>
      </w:r>
    </w:p>
    <w:p w14:paraId="2B32B0A6" w14:textId="77777777" w:rsidR="006B0507" w:rsidRPr="00677968" w:rsidRDefault="006B0507" w:rsidP="006B0507">
      <w:pPr>
        <w:numPr>
          <w:ilvl w:val="0"/>
          <w:numId w:val="6"/>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52AF8FC5" w14:textId="77777777" w:rsidR="006B0507" w:rsidRPr="00677968" w:rsidRDefault="006B0507" w:rsidP="006B0507">
      <w:pPr>
        <w:numPr>
          <w:ilvl w:val="0"/>
          <w:numId w:val="6"/>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por “práctica colusoria” se entiende todo arreglo entre dos o más partes realizado con la intención de alcanzar un propósito ilícito, como el de influir de forma indebida en el accionar de otra parte;</w:t>
      </w:r>
    </w:p>
    <w:p w14:paraId="342B4CA3" w14:textId="77777777" w:rsidR="006B0507" w:rsidRPr="00677968" w:rsidRDefault="006B0507" w:rsidP="006B0507">
      <w:pPr>
        <w:numPr>
          <w:ilvl w:val="0"/>
          <w:numId w:val="6"/>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por “práctica coercitiva” se entiende el perjuicio o daño o la amenaza de causar perjuicio o daño directa o indirectamente a cualquiera de las partes o a sus bienes para influir de forma indebida en su accionar;</w:t>
      </w:r>
    </w:p>
    <w:p w14:paraId="7C27DB68" w14:textId="77777777" w:rsidR="006B0507" w:rsidRPr="00677968" w:rsidRDefault="006B0507" w:rsidP="006B0507">
      <w:pPr>
        <w:numPr>
          <w:ilvl w:val="0"/>
          <w:numId w:val="6"/>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por “práctica obstructiva” se entiende:</w:t>
      </w:r>
    </w:p>
    <w:p w14:paraId="20192EF4" w14:textId="77777777" w:rsidR="006B0507" w:rsidRPr="00677968" w:rsidRDefault="006B0507" w:rsidP="006B0507">
      <w:pPr>
        <w:numPr>
          <w:ilvl w:val="0"/>
          <w:numId w:val="7"/>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012AF806" w14:textId="77777777" w:rsidR="006B0507" w:rsidRPr="00677968" w:rsidRDefault="006B0507" w:rsidP="006B0507">
      <w:pPr>
        <w:numPr>
          <w:ilvl w:val="0"/>
          <w:numId w:val="7"/>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los actos destinados a impedir materialmente que el Banco ejerza sus derechos de inspección y auditoría establecidos en el párrafo 2.2 e), que figura a continuación.</w:t>
      </w:r>
    </w:p>
    <w:p w14:paraId="6879A630" w14:textId="77777777" w:rsidR="006B0507" w:rsidRPr="00677968" w:rsidRDefault="006B0507" w:rsidP="006B0507">
      <w:pPr>
        <w:numPr>
          <w:ilvl w:val="0"/>
          <w:numId w:val="5"/>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1DE97F7E" w14:textId="77777777" w:rsidR="006B0507" w:rsidRPr="00677968" w:rsidRDefault="006B0507" w:rsidP="006B0507">
      <w:pPr>
        <w:numPr>
          <w:ilvl w:val="0"/>
          <w:numId w:val="5"/>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w:t>
      </w:r>
      <w:r w:rsidRPr="00677968">
        <w:rPr>
          <w:rFonts w:asciiTheme="majorHAnsi" w:eastAsia="Calibri" w:hAnsiTheme="majorHAnsi" w:cstheme="majorHAnsi"/>
          <w:sz w:val="22"/>
          <w:szCs w:val="22"/>
        </w:rPr>
        <w:lastRenderedPageBreak/>
        <w:t xml:space="preserve">abordar dichas prácticas cuando estas ocurrieron, como informar en tiempo y forma a este último al tomar conocimiento de los hechos. </w:t>
      </w:r>
    </w:p>
    <w:p w14:paraId="21CCD3FA" w14:textId="77777777" w:rsidR="006B0507" w:rsidRPr="00677968" w:rsidRDefault="006B0507" w:rsidP="006B0507">
      <w:pPr>
        <w:numPr>
          <w:ilvl w:val="0"/>
          <w:numId w:val="5"/>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Sancionará, conforme a lo establecido en sus Directrices Contra la Corrupción y a sus políticas y procedimientos de sanciones vigentes, en forma indefinida o por un período determinado, a cualquier empresa o persona, declarándola públicamente inelegible para i) recibir la adjudicación de un contrato financiado por el Banco u obtener beneficios financieros o de otro tipo a través de dicho contrato</w:t>
      </w:r>
      <w:r w:rsidRPr="00677968">
        <w:rPr>
          <w:rFonts w:asciiTheme="majorHAnsi" w:eastAsia="Calibri" w:hAnsiTheme="majorHAnsi" w:cstheme="majorHAnsi"/>
          <w:sz w:val="22"/>
          <w:szCs w:val="22"/>
          <w:vertAlign w:val="superscript"/>
        </w:rPr>
        <w:footnoteReference w:id="2"/>
      </w:r>
      <w:r w:rsidRPr="00677968">
        <w:rPr>
          <w:rFonts w:asciiTheme="majorHAnsi" w:eastAsia="Calibri" w:hAnsiTheme="majorHAnsi" w:cstheme="majorHAnsi"/>
          <w:sz w:val="22"/>
          <w:szCs w:val="22"/>
        </w:rPr>
        <w:t>; ii) ser designada</w:t>
      </w:r>
      <w:r w:rsidRPr="00677968">
        <w:rPr>
          <w:rFonts w:asciiTheme="majorHAnsi" w:eastAsia="Calibri" w:hAnsiTheme="majorHAnsi" w:cstheme="majorHAnsi"/>
          <w:sz w:val="22"/>
          <w:szCs w:val="22"/>
          <w:vertAlign w:val="superscript"/>
        </w:rPr>
        <w:footnoteReference w:id="3"/>
      </w:r>
      <w:r w:rsidRPr="00677968">
        <w:rPr>
          <w:rFonts w:asciiTheme="majorHAnsi" w:eastAsia="Calibri" w:hAnsiTheme="majorHAnsi" w:cstheme="majorHAnsi"/>
          <w:sz w:val="22"/>
          <w:szCs w:val="22"/>
        </w:rPr>
        <w:t xml:space="preserve"> subcontratista, consultor, fabricante o proveedor, o prestador de servicios nominado de una empresa habilitada para ser adjudicataria de un contrato financiado por el Banco, y iii) recibir los fondos de un contrato otorgado por el Banco o seguir participando en la preparación o ejecución de un proyecto financiado por este.</w:t>
      </w:r>
    </w:p>
    <w:p w14:paraId="49ECD112" w14:textId="77777777" w:rsidR="006B0507" w:rsidRPr="00677968" w:rsidRDefault="006B0507" w:rsidP="006B0507">
      <w:p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e.</w:t>
      </w:r>
      <w:r w:rsidRPr="00677968">
        <w:rPr>
          <w:rFonts w:asciiTheme="majorHAnsi" w:eastAsia="Calibri" w:hAnsiTheme="majorHAnsi" w:cstheme="majorHAnsi"/>
          <w:sz w:val="22"/>
          <w:szCs w:val="22"/>
        </w:rPr>
        <w:tab/>
        <w:t>Exigirá que en los documentos de Solicitud de Ofertas/SDP y en los contratos financiados con préstamos del Banco se incluya una cláusula en la que se exija que los licitantes (postulantes / proponentes), consultores, contratistas y proveedores, así como sus subcontratistas, subconsultores, agentes, empleados, consultores, prestadores de servicios o proveedores, permitan al Banco inspeccionar</w:t>
      </w:r>
      <w:r w:rsidRPr="00677968">
        <w:rPr>
          <w:rFonts w:asciiTheme="majorHAnsi" w:eastAsia="Calibri" w:hAnsiTheme="majorHAnsi" w:cstheme="majorHAnsi"/>
          <w:sz w:val="22"/>
          <w:szCs w:val="22"/>
          <w:vertAlign w:val="superscript"/>
        </w:rPr>
        <w:footnoteReference w:id="4"/>
      </w:r>
      <w:r w:rsidRPr="00677968">
        <w:rPr>
          <w:rFonts w:asciiTheme="majorHAnsi" w:eastAsia="Calibri" w:hAnsiTheme="majorHAnsi" w:cstheme="majorHAnsi"/>
          <w:sz w:val="22"/>
          <w:szCs w:val="22"/>
        </w:rPr>
        <w:t xml:space="preserve"> todas las cuentas, registros y otros documentos relacionados con la presentación de propuestas y el cumplimiento de los contratos, y someterlos a la auditoría de profesionales nombrados por este.</w:t>
      </w:r>
    </w:p>
    <w:p w14:paraId="1D1D82AC" w14:textId="77777777" w:rsidR="006B0507" w:rsidRPr="00677968" w:rsidRDefault="006B0507" w:rsidP="006B0507">
      <w:pPr>
        <w:tabs>
          <w:tab w:val="left" w:pos="5298"/>
        </w:tabs>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tab/>
      </w:r>
    </w:p>
    <w:p w14:paraId="102ABFE1" w14:textId="77777777" w:rsidR="006B0507" w:rsidRPr="00677968" w:rsidRDefault="006B0507" w:rsidP="006B0507">
      <w:pPr>
        <w:tabs>
          <w:tab w:val="left" w:pos="5298"/>
        </w:tabs>
        <w:ind w:left="0" w:hanging="2"/>
        <w:rPr>
          <w:rFonts w:asciiTheme="majorHAnsi" w:eastAsia="Calibri" w:hAnsiTheme="majorHAnsi" w:cstheme="majorHAnsi"/>
          <w:sz w:val="22"/>
          <w:szCs w:val="22"/>
        </w:rPr>
      </w:pPr>
    </w:p>
    <w:p w14:paraId="530FC17A" w14:textId="77777777" w:rsidR="006B0507" w:rsidRPr="00677968" w:rsidRDefault="006B0507" w:rsidP="006B0507">
      <w:pPr>
        <w:ind w:left="0" w:hanging="2"/>
        <w:rPr>
          <w:rFonts w:asciiTheme="majorHAnsi" w:eastAsia="Arial Narrow" w:hAnsiTheme="majorHAnsi" w:cstheme="majorHAnsi"/>
          <w:sz w:val="22"/>
          <w:szCs w:val="22"/>
        </w:rPr>
      </w:pPr>
    </w:p>
    <w:p w14:paraId="1E7E3BA4" w14:textId="77777777" w:rsidR="006B0507" w:rsidRPr="00677968" w:rsidRDefault="006B0507" w:rsidP="006B0507">
      <w:pPr>
        <w:ind w:left="0" w:hanging="2"/>
        <w:rPr>
          <w:rFonts w:asciiTheme="majorHAnsi" w:hAnsiTheme="majorHAnsi" w:cstheme="majorHAnsi"/>
          <w:sz w:val="22"/>
          <w:szCs w:val="22"/>
        </w:rPr>
      </w:pPr>
    </w:p>
    <w:p w14:paraId="6BC2BFA4" w14:textId="77777777" w:rsidR="006B0507" w:rsidRPr="00677968" w:rsidRDefault="006B0507" w:rsidP="006B0507">
      <w:pPr>
        <w:ind w:left="0" w:hanging="2"/>
        <w:jc w:val="both"/>
        <w:rPr>
          <w:rFonts w:asciiTheme="majorHAnsi" w:eastAsia="Calibri" w:hAnsiTheme="majorHAnsi" w:cstheme="majorHAnsi"/>
          <w:sz w:val="22"/>
          <w:szCs w:val="22"/>
        </w:rPr>
      </w:pPr>
    </w:p>
    <w:p w14:paraId="7F88E546"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7B896876"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09DCF641"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3331FED8"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4D0CB4D6"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5344C101"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00939691"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63CFC523"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5F784B81"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78DCE8C6"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5FEF1AE6"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41C3D9E8"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2ADB1FD2"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16499E15" w14:textId="77777777" w:rsidR="006B0507" w:rsidRDefault="006B0507" w:rsidP="00315E16">
      <w:pPr>
        <w:ind w:leftChars="0" w:left="0" w:firstLineChars="0" w:firstLine="0"/>
        <w:jc w:val="center"/>
        <w:rPr>
          <w:rFonts w:asciiTheme="majorHAnsi" w:eastAsia="Calibri" w:hAnsiTheme="majorHAnsi" w:cstheme="majorHAnsi"/>
          <w:b/>
          <w:sz w:val="22"/>
          <w:szCs w:val="22"/>
        </w:rPr>
      </w:pPr>
    </w:p>
    <w:p w14:paraId="28AC9009" w14:textId="0DBAE88D" w:rsidR="00F8542D" w:rsidRPr="00315E16" w:rsidRDefault="00F8542D" w:rsidP="006B0507">
      <w:pPr>
        <w:ind w:leftChars="0" w:left="0" w:firstLineChars="0" w:firstLine="0"/>
      </w:pPr>
    </w:p>
    <w:sectPr w:rsidR="00F8542D" w:rsidRPr="00315E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526C3" w14:textId="77777777" w:rsidR="00800D90" w:rsidRDefault="00800D90" w:rsidP="00315E16">
      <w:pPr>
        <w:spacing w:line="240" w:lineRule="auto"/>
        <w:ind w:left="0" w:hanging="2"/>
      </w:pPr>
      <w:r>
        <w:separator/>
      </w:r>
    </w:p>
  </w:endnote>
  <w:endnote w:type="continuationSeparator" w:id="0">
    <w:p w14:paraId="3D38A00B" w14:textId="77777777" w:rsidR="00800D90" w:rsidRDefault="00800D90" w:rsidP="00315E1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9C19A" w14:textId="77777777" w:rsidR="00800D90" w:rsidRDefault="00800D90" w:rsidP="00315E16">
      <w:pPr>
        <w:spacing w:line="240" w:lineRule="auto"/>
        <w:ind w:left="0" w:hanging="2"/>
      </w:pPr>
      <w:r>
        <w:separator/>
      </w:r>
    </w:p>
  </w:footnote>
  <w:footnote w:type="continuationSeparator" w:id="0">
    <w:p w14:paraId="25E09BE4" w14:textId="77777777" w:rsidR="00800D90" w:rsidRDefault="00800D90" w:rsidP="00315E16">
      <w:pPr>
        <w:spacing w:line="240" w:lineRule="auto"/>
        <w:ind w:left="0" w:hanging="2"/>
      </w:pPr>
      <w:r>
        <w:continuationSeparator/>
      </w:r>
    </w:p>
  </w:footnote>
  <w:footnote w:id="1">
    <w:p w14:paraId="3E1EAD0D" w14:textId="77777777" w:rsidR="006B0507" w:rsidRDefault="006B0507" w:rsidP="006B0507">
      <w:pPr>
        <w:ind w:left="0" w:hanging="2"/>
        <w:jc w:val="both"/>
        <w:rPr>
          <w:rFonts w:ascii="Calibri" w:eastAsia="Calibri" w:hAnsi="Calibri" w:cs="Calibri"/>
          <w:sz w:val="14"/>
          <w:szCs w:val="14"/>
        </w:rPr>
      </w:pPr>
      <w:r>
        <w:rPr>
          <w:vertAlign w:val="superscript"/>
        </w:rPr>
        <w:footnoteRef/>
      </w:r>
      <w:r>
        <w:rPr>
          <w:rFonts w:ascii="Calibri" w:eastAsia="Calibri" w:hAnsi="Calibri" w:cs="Calibri"/>
          <w:i/>
          <w:sz w:val="14"/>
          <w:szCs w:val="14"/>
        </w:rPr>
        <w:t>La cotización debe presentarse en Pesos Colombianos, moneda que también será utilizada para el pago de los servicios. Se debe indicar el precio total de la cotización en palabras y en cifras.</w:t>
      </w:r>
    </w:p>
  </w:footnote>
  <w:footnote w:id="2">
    <w:p w14:paraId="293EF835" w14:textId="77777777" w:rsidR="006B0507" w:rsidRDefault="006B0507" w:rsidP="006B0507">
      <w:pPr>
        <w:widowControl/>
        <w:pBdr>
          <w:top w:val="nil"/>
          <w:left w:val="nil"/>
          <w:bottom w:val="nil"/>
          <w:right w:val="nil"/>
          <w:between w:val="nil"/>
        </w:pBdr>
        <w:spacing w:line="240" w:lineRule="auto"/>
        <w:ind w:left="0" w:hanging="2"/>
        <w:jc w:val="both"/>
        <w:rPr>
          <w:rFonts w:ascii="Calibri" w:eastAsia="Calibri" w:hAnsi="Calibri" w:cs="Calibri"/>
          <w:color w:val="000000"/>
          <w:sz w:val="12"/>
          <w:szCs w:val="12"/>
        </w:rPr>
      </w:pPr>
      <w:r>
        <w:rPr>
          <w:vertAlign w:val="superscript"/>
        </w:rPr>
        <w:footnoteRef/>
      </w:r>
      <w:r>
        <w:rPr>
          <w:rFonts w:ascii="Calibri" w:eastAsia="Calibri" w:hAnsi="Calibri" w:cs="Calibri"/>
          <w:color w:val="000000"/>
          <w:sz w:val="14"/>
          <w:szCs w:val="14"/>
        </w:rPr>
        <w:t xml:space="preserve"> </w:t>
      </w:r>
      <w:r>
        <w:rPr>
          <w:rFonts w:ascii="Calibri" w:eastAsia="Calibri" w:hAnsi="Calibri" w:cs="Calibri"/>
          <w:color w:val="000000"/>
          <w:sz w:val="14"/>
          <w:szCs w:val="14"/>
        </w:rPr>
        <w:tab/>
      </w:r>
      <w:r>
        <w:rPr>
          <w:rFonts w:ascii="Calibri" w:eastAsia="Calibri" w:hAnsi="Calibri" w:cs="Calibri"/>
          <w:color w:val="000000"/>
          <w:sz w:val="12"/>
          <w:szCs w:val="12"/>
        </w:rPr>
        <w:t>Para disipar cualquier duda, la inelegibilidad de una parte para recibir la adjudicación de un contrato incluirá, entre otras cosas, (i) solicitar la precalificación, expresar interés en la prestación de servicios de consultoría y presentar ofertas/propuestas, en forma directa o en calidad de subcontratista, fabricante o proveedor, o prestador de servicios nominado, en relación con dicho contrato, y (ii) suscribir una enmienda o modificación en la que introduzcan cambios sustanciales a un contrato existente.</w:t>
      </w:r>
    </w:p>
  </w:footnote>
  <w:footnote w:id="3">
    <w:p w14:paraId="6FC4C605" w14:textId="77777777" w:rsidR="006B0507" w:rsidRDefault="006B0507" w:rsidP="006B0507">
      <w:pPr>
        <w:widowControl/>
        <w:pBdr>
          <w:top w:val="nil"/>
          <w:left w:val="nil"/>
          <w:bottom w:val="nil"/>
          <w:right w:val="nil"/>
          <w:between w:val="nil"/>
        </w:pBdr>
        <w:tabs>
          <w:tab w:val="left" w:pos="426"/>
        </w:tabs>
        <w:spacing w:line="240" w:lineRule="auto"/>
        <w:ind w:left="0" w:hanging="2"/>
        <w:jc w:val="both"/>
        <w:rPr>
          <w:rFonts w:ascii="Calibri" w:eastAsia="Calibri" w:hAnsi="Calibri" w:cs="Calibri"/>
          <w:color w:val="000000"/>
          <w:sz w:val="12"/>
          <w:szCs w:val="12"/>
        </w:rPr>
      </w:pPr>
      <w:r>
        <w:rPr>
          <w:vertAlign w:val="superscript"/>
        </w:rPr>
        <w:footnoteRef/>
      </w:r>
      <w:r>
        <w:rPr>
          <w:rFonts w:ascii="Calibri" w:eastAsia="Calibri" w:hAnsi="Calibri" w:cs="Calibri"/>
          <w:color w:val="000000"/>
          <w:sz w:val="14"/>
          <w:szCs w:val="14"/>
        </w:rPr>
        <w:t xml:space="preserve"> </w:t>
      </w:r>
      <w:r>
        <w:rPr>
          <w:rFonts w:ascii="Calibri" w:eastAsia="Calibri" w:hAnsi="Calibri" w:cs="Calibri"/>
          <w:color w:val="000000"/>
          <w:sz w:val="14"/>
          <w:szCs w:val="14"/>
        </w:rPr>
        <w:tab/>
      </w:r>
      <w:r>
        <w:rPr>
          <w:rFonts w:ascii="Calibri" w:eastAsia="Calibri" w:hAnsi="Calibri" w:cs="Calibri"/>
          <w:color w:val="000000"/>
          <w:sz w:val="12"/>
          <w:szCs w:val="12"/>
        </w:rPr>
        <w:t>Un subcontratista, consultor, fabricante o proveedor, o prestador de servicios nominado (el nombre dependerá del documento de licitación de que se trate) es aquel que (i) figura en la solicitud de precalificación u oferta del Licitante (postulante / proponente) debido a que aporta la experiencia y los conocimientos especializados esenciales que le permiten cumplir los requisitos de calificación para una oferta/propuesta en particular, o (ii) ha sido designado por el Prestador.</w:t>
      </w:r>
    </w:p>
  </w:footnote>
  <w:footnote w:id="4">
    <w:p w14:paraId="6AED9391" w14:textId="77777777" w:rsidR="006B0507" w:rsidRDefault="006B0507" w:rsidP="006B0507">
      <w:pPr>
        <w:widowControl/>
        <w:pBdr>
          <w:top w:val="nil"/>
          <w:left w:val="nil"/>
          <w:bottom w:val="nil"/>
          <w:right w:val="nil"/>
          <w:between w:val="nil"/>
        </w:pBdr>
        <w:tabs>
          <w:tab w:val="left" w:pos="426"/>
        </w:tabs>
        <w:spacing w:line="240" w:lineRule="auto"/>
        <w:ind w:left="0" w:hanging="2"/>
        <w:jc w:val="both"/>
        <w:rPr>
          <w:color w:val="000000"/>
        </w:rPr>
      </w:pPr>
      <w:r>
        <w:rPr>
          <w:vertAlign w:val="superscript"/>
        </w:rPr>
        <w:footnoteRef/>
      </w:r>
      <w:r>
        <w:rPr>
          <w:rFonts w:ascii="Calibri" w:eastAsia="Calibri" w:hAnsi="Calibri" w:cs="Calibri"/>
          <w:color w:val="000000"/>
          <w:sz w:val="14"/>
          <w:szCs w:val="14"/>
        </w:rPr>
        <w:t xml:space="preserve"> </w:t>
      </w:r>
      <w:r>
        <w:rPr>
          <w:rFonts w:ascii="Calibri" w:eastAsia="Calibri" w:hAnsi="Calibri" w:cs="Calibri"/>
          <w:color w:val="000000"/>
          <w:sz w:val="14"/>
          <w:szCs w:val="14"/>
        </w:rPr>
        <w:tab/>
      </w:r>
      <w:r>
        <w:rPr>
          <w:rFonts w:ascii="Calibri" w:eastAsia="Calibri" w:hAnsi="Calibri" w:cs="Calibri"/>
          <w:color w:val="000000"/>
          <w:sz w:val="12"/>
          <w:szCs w:val="12"/>
        </w:rPr>
        <w:t xml:space="preserve">Las inspecciones que se llevan a cabo en este contexto suelen ser de carácter investigativo (es decir, forense). </w:t>
      </w:r>
      <w:r>
        <w:rPr>
          <w:rFonts w:ascii="Calibri" w:eastAsia="Calibri" w:hAnsi="Calibri" w:cs="Calibri"/>
          <w:color w:val="000000"/>
          <w:sz w:val="12"/>
          <w:szCs w:val="12"/>
        </w:rPr>
        <w:br/>
        <w:t>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1330"/>
    <w:multiLevelType w:val="multilevel"/>
    <w:tmpl w:val="ACFE0A94"/>
    <w:lvl w:ilvl="0">
      <w:start w:val="1"/>
      <w:numFmt w:val="lowerLetter"/>
      <w:lvlText w:val="%1)"/>
      <w:lvlJc w:val="left"/>
      <w:pPr>
        <w:ind w:left="2880" w:hanging="360"/>
      </w:pPr>
      <w:rPr>
        <w:vertAlign w:val="baseline"/>
      </w:rPr>
    </w:lvl>
    <w:lvl w:ilvl="1">
      <w:start w:val="1"/>
      <w:numFmt w:val="lowerLetter"/>
      <w:lvlText w:val="%2."/>
      <w:lvlJc w:val="left"/>
      <w:pPr>
        <w:ind w:left="3600" w:hanging="360"/>
      </w:pPr>
      <w:rPr>
        <w:vertAlign w:val="baseline"/>
      </w:rPr>
    </w:lvl>
    <w:lvl w:ilvl="2">
      <w:start w:val="1"/>
      <w:numFmt w:val="lowerRoman"/>
      <w:lvlText w:val="%3."/>
      <w:lvlJc w:val="right"/>
      <w:pPr>
        <w:ind w:left="4320" w:hanging="180"/>
      </w:pPr>
      <w:rPr>
        <w:vertAlign w:val="baseline"/>
      </w:rPr>
    </w:lvl>
    <w:lvl w:ilvl="3">
      <w:start w:val="1"/>
      <w:numFmt w:val="decimal"/>
      <w:lvlText w:val="%4."/>
      <w:lvlJc w:val="left"/>
      <w:pPr>
        <w:ind w:left="5040" w:hanging="360"/>
      </w:pPr>
      <w:rPr>
        <w:vertAlign w:val="baseline"/>
      </w:rPr>
    </w:lvl>
    <w:lvl w:ilvl="4">
      <w:start w:val="1"/>
      <w:numFmt w:val="lowerLetter"/>
      <w:lvlText w:val="%5."/>
      <w:lvlJc w:val="left"/>
      <w:pPr>
        <w:ind w:left="5760" w:hanging="360"/>
      </w:pPr>
      <w:rPr>
        <w:vertAlign w:val="baseline"/>
      </w:rPr>
    </w:lvl>
    <w:lvl w:ilvl="5">
      <w:start w:val="1"/>
      <w:numFmt w:val="lowerRoman"/>
      <w:lvlText w:val="%6."/>
      <w:lvlJc w:val="right"/>
      <w:pPr>
        <w:ind w:left="6480" w:hanging="180"/>
      </w:pPr>
      <w:rPr>
        <w:vertAlign w:val="baseline"/>
      </w:rPr>
    </w:lvl>
    <w:lvl w:ilvl="6">
      <w:start w:val="1"/>
      <w:numFmt w:val="decimal"/>
      <w:lvlText w:val="%7."/>
      <w:lvlJc w:val="left"/>
      <w:pPr>
        <w:ind w:left="7200" w:hanging="360"/>
      </w:pPr>
      <w:rPr>
        <w:vertAlign w:val="baseline"/>
      </w:rPr>
    </w:lvl>
    <w:lvl w:ilvl="7">
      <w:start w:val="1"/>
      <w:numFmt w:val="lowerLetter"/>
      <w:lvlText w:val="%8."/>
      <w:lvlJc w:val="left"/>
      <w:pPr>
        <w:ind w:left="7920" w:hanging="360"/>
      </w:pPr>
      <w:rPr>
        <w:vertAlign w:val="baseline"/>
      </w:rPr>
    </w:lvl>
    <w:lvl w:ilvl="8">
      <w:start w:val="1"/>
      <w:numFmt w:val="lowerRoman"/>
      <w:lvlText w:val="%9."/>
      <w:lvlJc w:val="right"/>
      <w:pPr>
        <w:ind w:left="8640" w:hanging="180"/>
      </w:pPr>
      <w:rPr>
        <w:vertAlign w:val="baseline"/>
      </w:rPr>
    </w:lvl>
  </w:abstractNum>
  <w:abstractNum w:abstractNumId="1" w15:restartNumberingAfterBreak="0">
    <w:nsid w:val="0E19011B"/>
    <w:multiLevelType w:val="multilevel"/>
    <w:tmpl w:val="0E24D8F8"/>
    <w:lvl w:ilvl="0">
      <w:start w:val="1"/>
      <w:numFmt w:val="lowerLetter"/>
      <w:lvlText w:val="%1."/>
      <w:lvlJc w:val="left"/>
      <w:pPr>
        <w:ind w:left="14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7586F85"/>
    <w:multiLevelType w:val="multilevel"/>
    <w:tmpl w:val="FCFCE3DE"/>
    <w:lvl w:ilvl="0">
      <w:start w:val="1"/>
      <w:numFmt w:val="lowerRoman"/>
      <w:lvlText w:val="%1."/>
      <w:lvlJc w:val="right"/>
      <w:pPr>
        <w:ind w:left="2160" w:hanging="360"/>
      </w:pPr>
      <w:rPr>
        <w:b w:val="0"/>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3" w15:restartNumberingAfterBreak="0">
    <w:nsid w:val="3E53449E"/>
    <w:multiLevelType w:val="multilevel"/>
    <w:tmpl w:val="334E808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08F6492"/>
    <w:multiLevelType w:val="multilevel"/>
    <w:tmpl w:val="004809EE"/>
    <w:lvl w:ilvl="0">
      <w:start w:val="1"/>
      <w:numFmt w:val="decimal"/>
      <w:lvlText w:val="2.%1"/>
      <w:lvlJc w:val="left"/>
      <w:pPr>
        <w:ind w:left="360" w:hanging="360"/>
      </w:pPr>
      <w:rPr>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CD019ED"/>
    <w:multiLevelType w:val="multilevel"/>
    <w:tmpl w:val="7C74CFA2"/>
    <w:lvl w:ilvl="0">
      <w:start w:val="1"/>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6" w15:restartNumberingAfterBreak="0">
    <w:nsid w:val="60FA12B8"/>
    <w:multiLevelType w:val="multilevel"/>
    <w:tmpl w:val="C018E7F0"/>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678973308">
    <w:abstractNumId w:val="3"/>
  </w:num>
  <w:num w:numId="2" w16cid:durableId="1284656528">
    <w:abstractNumId w:val="6"/>
  </w:num>
  <w:num w:numId="3" w16cid:durableId="1746563122">
    <w:abstractNumId w:val="5"/>
  </w:num>
  <w:num w:numId="4" w16cid:durableId="1092433439">
    <w:abstractNumId w:val="4"/>
  </w:num>
  <w:num w:numId="5" w16cid:durableId="899285128">
    <w:abstractNumId w:val="1"/>
  </w:num>
  <w:num w:numId="6" w16cid:durableId="158619965">
    <w:abstractNumId w:val="2"/>
  </w:num>
  <w:num w:numId="7" w16cid:durableId="67122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16"/>
    <w:rsid w:val="00315E16"/>
    <w:rsid w:val="00327C76"/>
    <w:rsid w:val="005E75FF"/>
    <w:rsid w:val="0063440D"/>
    <w:rsid w:val="00693D8F"/>
    <w:rsid w:val="006B0507"/>
    <w:rsid w:val="00800D90"/>
    <w:rsid w:val="0092484E"/>
    <w:rsid w:val="009D738F"/>
    <w:rsid w:val="00C31179"/>
    <w:rsid w:val="00DB0531"/>
    <w:rsid w:val="00F854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7C25"/>
  <w15:chartTrackingRefBased/>
  <w15:docId w15:val="{BF2AA850-0EFC-4B09-8AAB-D188DDC9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E16"/>
    <w:pPr>
      <w:widowControl w:val="0"/>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0"/>
      <w:szCs w:val="20"/>
      <w:lang w:eastAsia="es-ES"/>
      <w14:ligatures w14:val="none"/>
    </w:rPr>
  </w:style>
  <w:style w:type="paragraph" w:styleId="Ttulo1">
    <w:name w:val="heading 1"/>
    <w:basedOn w:val="Normal"/>
    <w:next w:val="Normal"/>
    <w:link w:val="Ttulo1Car"/>
    <w:uiPriority w:val="9"/>
    <w:qFormat/>
    <w:rsid w:val="00315E16"/>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5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5E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5E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5E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5E1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5E1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5E1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5E1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5E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5E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5E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5E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5E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5E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5E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5E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5E16"/>
    <w:rPr>
      <w:rFonts w:eastAsiaTheme="majorEastAsia" w:cstheme="majorBidi"/>
      <w:color w:val="272727" w:themeColor="text1" w:themeTint="D8"/>
    </w:rPr>
  </w:style>
  <w:style w:type="paragraph" w:styleId="Ttulo">
    <w:name w:val="Title"/>
    <w:basedOn w:val="Normal"/>
    <w:next w:val="Normal"/>
    <w:link w:val="TtuloCar"/>
    <w:uiPriority w:val="10"/>
    <w:qFormat/>
    <w:rsid w:val="00315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5E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5E16"/>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5E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5E16"/>
    <w:pPr>
      <w:spacing w:before="160"/>
      <w:jc w:val="center"/>
    </w:pPr>
    <w:rPr>
      <w:i/>
      <w:iCs/>
      <w:color w:val="404040" w:themeColor="text1" w:themeTint="BF"/>
    </w:rPr>
  </w:style>
  <w:style w:type="character" w:customStyle="1" w:styleId="CitaCar">
    <w:name w:val="Cita Car"/>
    <w:basedOn w:val="Fuentedeprrafopredeter"/>
    <w:link w:val="Cita"/>
    <w:uiPriority w:val="29"/>
    <w:rsid w:val="00315E16"/>
    <w:rPr>
      <w:i/>
      <w:iCs/>
      <w:color w:val="404040" w:themeColor="text1" w:themeTint="BF"/>
    </w:rPr>
  </w:style>
  <w:style w:type="paragraph" w:styleId="Prrafodelista">
    <w:name w:val="List Paragraph"/>
    <w:basedOn w:val="Normal"/>
    <w:uiPriority w:val="34"/>
    <w:qFormat/>
    <w:rsid w:val="00315E16"/>
    <w:pPr>
      <w:ind w:left="720"/>
      <w:contextualSpacing/>
    </w:pPr>
  </w:style>
  <w:style w:type="character" w:styleId="nfasisintenso">
    <w:name w:val="Intense Emphasis"/>
    <w:basedOn w:val="Fuentedeprrafopredeter"/>
    <w:uiPriority w:val="21"/>
    <w:qFormat/>
    <w:rsid w:val="00315E16"/>
    <w:rPr>
      <w:i/>
      <w:iCs/>
      <w:color w:val="0F4761" w:themeColor="accent1" w:themeShade="BF"/>
    </w:rPr>
  </w:style>
  <w:style w:type="paragraph" w:styleId="Citadestacada">
    <w:name w:val="Intense Quote"/>
    <w:basedOn w:val="Normal"/>
    <w:next w:val="Normal"/>
    <w:link w:val="CitadestacadaCar"/>
    <w:uiPriority w:val="30"/>
    <w:qFormat/>
    <w:rsid w:val="00315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5E16"/>
    <w:rPr>
      <w:i/>
      <w:iCs/>
      <w:color w:val="0F4761" w:themeColor="accent1" w:themeShade="BF"/>
    </w:rPr>
  </w:style>
  <w:style w:type="character" w:styleId="Referenciaintensa">
    <w:name w:val="Intense Reference"/>
    <w:basedOn w:val="Fuentedeprrafopredeter"/>
    <w:uiPriority w:val="32"/>
    <w:qFormat/>
    <w:rsid w:val="00315E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ridica@sinchi.org.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2117</Words>
  <Characters>11645</Characters>
  <Application>Microsoft Office Word</Application>
  <DocSecurity>0</DocSecurity>
  <Lines>97</Lines>
  <Paragraphs>27</Paragraphs>
  <ScaleCrop>false</ScaleCrop>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Daniela Leal Oviedo</dc:creator>
  <cp:keywords/>
  <dc:description/>
  <cp:lastModifiedBy>Edier Alberto Alzate Sanabria</cp:lastModifiedBy>
  <cp:revision>6</cp:revision>
  <dcterms:created xsi:type="dcterms:W3CDTF">2026-04-14T14:06:00Z</dcterms:created>
  <dcterms:modified xsi:type="dcterms:W3CDTF">2026-05-11T20:05:00Z</dcterms:modified>
</cp:coreProperties>
</file>